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24D5" w14:textId="77777777" w:rsidR="005A7972" w:rsidRPr="005A7972" w:rsidRDefault="00212AED" w:rsidP="00083C8A">
      <w:pPr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5B6468F" wp14:editId="2CBD9BF1">
            <wp:simplePos x="0" y="0"/>
            <wp:positionH relativeFrom="column">
              <wp:posOffset>4966854</wp:posOffset>
            </wp:positionH>
            <wp:positionV relativeFrom="page">
              <wp:posOffset>463897</wp:posOffset>
            </wp:positionV>
            <wp:extent cx="1072515" cy="920750"/>
            <wp:effectExtent l="0" t="0" r="0" b="0"/>
            <wp:wrapTight wrapText="bothSides">
              <wp:wrapPolygon edited="0">
                <wp:start x="10742" y="0"/>
                <wp:lineTo x="5371" y="0"/>
                <wp:lineTo x="767" y="3128"/>
                <wp:lineTo x="0" y="8491"/>
                <wp:lineTo x="0" y="14748"/>
                <wp:lineTo x="4988" y="21004"/>
                <wp:lineTo x="5371" y="21004"/>
                <wp:lineTo x="10742" y="21004"/>
                <wp:lineTo x="15346" y="21004"/>
                <wp:lineTo x="20334" y="17429"/>
                <wp:lineTo x="21101" y="12513"/>
                <wp:lineTo x="21101" y="6703"/>
                <wp:lineTo x="15730" y="0"/>
                <wp:lineTo x="10742" y="0"/>
              </wp:wrapPolygon>
            </wp:wrapTight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4E">
        <w:rPr>
          <w:rFonts w:ascii="Arial" w:hAnsi="Arial" w:cs="Arial"/>
          <w:b/>
        </w:rPr>
        <w:t xml:space="preserve">RHS </w:t>
      </w:r>
      <w:r w:rsidR="005A7972" w:rsidRPr="005A7972">
        <w:rPr>
          <w:rFonts w:ascii="Arial" w:hAnsi="Arial" w:cs="Arial"/>
          <w:b/>
        </w:rPr>
        <w:t>Com</w:t>
      </w:r>
      <w:r w:rsidR="00CF00E9">
        <w:rPr>
          <w:rFonts w:ascii="Arial" w:hAnsi="Arial" w:cs="Arial"/>
          <w:b/>
        </w:rPr>
        <w:t xml:space="preserve">munity Engagement Award – </w:t>
      </w:r>
      <w:r w:rsidR="00083C8A" w:rsidRPr="005A7972">
        <w:rPr>
          <w:rFonts w:ascii="Arial" w:hAnsi="Arial" w:cs="Arial"/>
          <w:b/>
        </w:rPr>
        <w:t>C</w:t>
      </w:r>
      <w:r w:rsidR="005A7972" w:rsidRPr="005A7972">
        <w:rPr>
          <w:rFonts w:ascii="Arial" w:hAnsi="Arial" w:cs="Arial"/>
          <w:b/>
        </w:rPr>
        <w:t>riteria, 2024</w:t>
      </w:r>
    </w:p>
    <w:p w14:paraId="085E80D3" w14:textId="1BB8BE81" w:rsidR="004A526D" w:rsidRPr="004A526D" w:rsidRDefault="005A7972" w:rsidP="00083C8A">
      <w:pPr>
        <w:rPr>
          <w:rFonts w:ascii="Arial" w:hAnsi="Arial" w:cs="Arial"/>
        </w:rPr>
      </w:pPr>
      <w:r w:rsidRPr="6B301F52">
        <w:rPr>
          <w:rFonts w:ascii="Arial" w:hAnsi="Arial" w:cs="Arial"/>
        </w:rPr>
        <w:t>C</w:t>
      </w:r>
      <w:r w:rsidR="00083C8A" w:rsidRPr="6B301F52">
        <w:rPr>
          <w:rFonts w:ascii="Arial" w:hAnsi="Arial" w:cs="Arial"/>
        </w:rPr>
        <w:t>ommunity gardening is a great way for people to connect with others and improve where they live</w:t>
      </w:r>
      <w:r w:rsidR="004A526D" w:rsidRPr="6B301F52">
        <w:rPr>
          <w:rFonts w:ascii="Arial" w:hAnsi="Arial" w:cs="Arial"/>
        </w:rPr>
        <w:t xml:space="preserve"> and can provide </w:t>
      </w:r>
      <w:r w:rsidRPr="6B301F52">
        <w:rPr>
          <w:rFonts w:ascii="Arial" w:hAnsi="Arial" w:cs="Arial"/>
        </w:rPr>
        <w:t xml:space="preserve">people </w:t>
      </w:r>
      <w:r w:rsidR="004A526D" w:rsidRPr="6B301F52">
        <w:rPr>
          <w:rFonts w:ascii="Arial" w:hAnsi="Arial" w:cs="Arial"/>
        </w:rPr>
        <w:t xml:space="preserve">without gardens with access to green space. </w:t>
      </w:r>
      <w:r w:rsidR="00083C8A" w:rsidRPr="6B301F52">
        <w:rPr>
          <w:rFonts w:ascii="Arial" w:hAnsi="Arial" w:cs="Arial"/>
        </w:rPr>
        <w:t xml:space="preserve">The whole community benefits from improved public spaces that people can take pride in, a healthier, greener environment, safer </w:t>
      </w:r>
      <w:proofErr w:type="gramStart"/>
      <w:r w:rsidR="00083C8A" w:rsidRPr="6B301F52">
        <w:rPr>
          <w:rFonts w:ascii="Arial" w:hAnsi="Arial" w:cs="Arial"/>
        </w:rPr>
        <w:t>streets</w:t>
      </w:r>
      <w:proofErr w:type="gramEnd"/>
      <w:r w:rsidR="00083C8A" w:rsidRPr="6B301F52">
        <w:rPr>
          <w:rFonts w:ascii="Arial" w:hAnsi="Arial" w:cs="Arial"/>
        </w:rPr>
        <w:t xml:space="preserve"> and healthier people. </w:t>
      </w:r>
    </w:p>
    <w:p w14:paraId="1F68D6C7" w14:textId="77777777" w:rsidR="00083C8A" w:rsidRPr="004A526D" w:rsidRDefault="00083C8A" w:rsidP="00083C8A">
      <w:pPr>
        <w:rPr>
          <w:rFonts w:ascii="Arial" w:hAnsi="Arial" w:cs="Arial"/>
        </w:rPr>
      </w:pPr>
      <w:r w:rsidRPr="004A526D">
        <w:rPr>
          <w:rFonts w:ascii="Arial" w:hAnsi="Arial" w:cs="Arial"/>
        </w:rPr>
        <w:t xml:space="preserve">This award recognises the efforts that groups are making to engage their </w:t>
      </w:r>
      <w:r w:rsidR="004A526D" w:rsidRPr="004A526D">
        <w:rPr>
          <w:rFonts w:ascii="Arial" w:hAnsi="Arial" w:cs="Arial"/>
        </w:rPr>
        <w:t xml:space="preserve">wider </w:t>
      </w:r>
      <w:r w:rsidRPr="004A526D">
        <w:rPr>
          <w:rFonts w:ascii="Arial" w:hAnsi="Arial" w:cs="Arial"/>
        </w:rPr>
        <w:t>communities</w:t>
      </w:r>
      <w:r w:rsidR="004A526D" w:rsidRPr="004A526D">
        <w:rPr>
          <w:rFonts w:ascii="Arial" w:hAnsi="Arial" w:cs="Arial"/>
        </w:rPr>
        <w:t>,</w:t>
      </w:r>
      <w:r w:rsidRPr="004A526D">
        <w:rPr>
          <w:rFonts w:ascii="Arial" w:hAnsi="Arial" w:cs="Arial"/>
        </w:rPr>
        <w:t xml:space="preserve"> </w:t>
      </w:r>
      <w:r w:rsidR="004A526D" w:rsidRPr="004A526D">
        <w:rPr>
          <w:rFonts w:ascii="Arial" w:hAnsi="Arial" w:cs="Arial"/>
        </w:rPr>
        <w:t xml:space="preserve">creating positive and long-lasting benefits. </w:t>
      </w:r>
    </w:p>
    <w:p w14:paraId="4F910020" w14:textId="77777777" w:rsidR="00933AE3" w:rsidRPr="003F73EE" w:rsidRDefault="00933AE3" w:rsidP="00212AED">
      <w:pPr>
        <w:tabs>
          <w:tab w:val="left" w:pos="6535"/>
        </w:tabs>
        <w:rPr>
          <w:rFonts w:ascii="Arial" w:hAnsi="Arial" w:cs="Arial"/>
          <w:b/>
        </w:rPr>
      </w:pPr>
      <w:r w:rsidRPr="003F73EE">
        <w:rPr>
          <w:rFonts w:ascii="Arial" w:hAnsi="Arial" w:cs="Arial"/>
          <w:b/>
        </w:rPr>
        <w:t xml:space="preserve">Assessment Key </w:t>
      </w:r>
      <w:r w:rsidR="00212AED">
        <w:rPr>
          <w:rFonts w:ascii="Arial" w:hAnsi="Arial" w:cs="Arial"/>
          <w:b/>
        </w:rPr>
        <w:tab/>
      </w:r>
    </w:p>
    <w:p w14:paraId="1024F00D" w14:textId="77777777" w:rsidR="00933AE3" w:rsidRDefault="00933AE3" w:rsidP="00933A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Each entry assessed on its own merits, with no medal levels awarded. The scores are to help each Region/Nation select a winner for each category, and to help the RHS select an overall winner from across the UK. The scores </w:t>
      </w:r>
      <w:proofErr w:type="gramStart"/>
      <w:r w:rsidR="00212AED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not be</w:t>
      </w:r>
      <w:proofErr w:type="gramEnd"/>
      <w:r>
        <w:rPr>
          <w:rFonts w:ascii="Arial" w:hAnsi="Arial" w:cs="Arial"/>
        </w:rPr>
        <w:t xml:space="preserve"> shared with groups.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933AE3" w14:paraId="5C63C380" w14:textId="77777777" w:rsidTr="001E331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22F84E6" w14:textId="77777777" w:rsidR="00933AE3" w:rsidRDefault="00933AE3" w:rsidP="001E331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</w:t>
            </w:r>
            <w:r w:rsidRPr="00C45986">
              <w:rPr>
                <w:rFonts w:ascii="Arial" w:hAnsi="Arial" w:cs="Arial"/>
              </w:rPr>
              <w:t xml:space="preserve">core </w:t>
            </w:r>
            <w:r>
              <w:rPr>
                <w:rFonts w:ascii="Arial" w:hAnsi="Arial" w:cs="Arial"/>
              </w:rPr>
              <w:t xml:space="preserve">against each </w:t>
            </w:r>
            <w:r w:rsidRPr="00C45986">
              <w:rPr>
                <w:rFonts w:ascii="Arial" w:hAnsi="Arial" w:cs="Arial"/>
              </w:rPr>
              <w:t>aspect</w:t>
            </w:r>
            <w:r>
              <w:rPr>
                <w:rFonts w:ascii="Arial" w:hAnsi="Arial" w:cs="Arial"/>
              </w:rPr>
              <w:t>,</w:t>
            </w:r>
            <w:r w:rsidRPr="00C45986">
              <w:rPr>
                <w:rFonts w:ascii="Arial" w:hAnsi="Arial" w:cs="Arial"/>
              </w:rPr>
              <w:t xml:space="preserve"> with a mark out of </w:t>
            </w:r>
            <w:r>
              <w:rPr>
                <w:rFonts w:ascii="Arial" w:hAnsi="Arial" w:cs="Arial"/>
              </w:rPr>
              <w:t>5, using the following key</w:t>
            </w:r>
            <w:r w:rsidRPr="00C45986">
              <w:rPr>
                <w:rFonts w:ascii="Arial" w:hAnsi="Arial" w:cs="Arial"/>
              </w:rPr>
              <w:t xml:space="preserve">. </w:t>
            </w:r>
          </w:p>
        </w:tc>
      </w:tr>
      <w:tr w:rsidR="00933AE3" w14:paraId="399FF5E7" w14:textId="77777777" w:rsidTr="001E331B">
        <w:tc>
          <w:tcPr>
            <w:tcW w:w="988" w:type="dxa"/>
          </w:tcPr>
          <w:p w14:paraId="4B584315" w14:textId="77777777" w:rsidR="00933AE3" w:rsidRPr="003F73EE" w:rsidRDefault="00933AE3" w:rsidP="00933AE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A1871">
              <w:rPr>
                <w:rFonts w:ascii="Arial" w:hAnsi="Arial" w:cs="Arial"/>
              </w:rPr>
              <w:t>0</w:t>
            </w:r>
          </w:p>
        </w:tc>
        <w:tc>
          <w:tcPr>
            <w:tcW w:w="8028" w:type="dxa"/>
          </w:tcPr>
          <w:p w14:paraId="2E225AB1" w14:textId="77777777" w:rsidR="00933AE3" w:rsidRDefault="00933AE3" w:rsidP="001E331B">
            <w:pPr>
              <w:rPr>
                <w:rFonts w:ascii="Arial" w:hAnsi="Arial" w:cs="Arial"/>
              </w:rPr>
            </w:pPr>
            <w:r w:rsidRPr="00AA1871">
              <w:rPr>
                <w:rFonts w:ascii="Arial" w:hAnsi="Arial" w:cs="Arial"/>
              </w:rPr>
              <w:t>Criteria not met;</w:t>
            </w:r>
          </w:p>
        </w:tc>
      </w:tr>
      <w:tr w:rsidR="00933AE3" w14:paraId="5A474FA9" w14:textId="77777777" w:rsidTr="001E331B">
        <w:tc>
          <w:tcPr>
            <w:tcW w:w="988" w:type="dxa"/>
          </w:tcPr>
          <w:p w14:paraId="18F999B5" w14:textId="77777777" w:rsidR="00933AE3" w:rsidRPr="003F73EE" w:rsidRDefault="00933AE3" w:rsidP="00933AE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A1871">
              <w:rPr>
                <w:rFonts w:ascii="Arial" w:hAnsi="Arial" w:cs="Arial"/>
              </w:rPr>
              <w:t>2</w:t>
            </w:r>
          </w:p>
        </w:tc>
        <w:tc>
          <w:tcPr>
            <w:tcW w:w="8028" w:type="dxa"/>
          </w:tcPr>
          <w:p w14:paraId="345FABC2" w14:textId="77777777" w:rsidR="00933AE3" w:rsidRDefault="00933AE3" w:rsidP="001E331B">
            <w:pPr>
              <w:rPr>
                <w:rFonts w:ascii="Arial" w:hAnsi="Arial" w:cs="Arial"/>
              </w:rPr>
            </w:pPr>
            <w:r w:rsidRPr="00AA1871">
              <w:rPr>
                <w:rFonts w:ascii="Arial" w:hAnsi="Arial" w:cs="Arial"/>
              </w:rPr>
              <w:t>Criteria somewhat met, but with significant scope for improvement;</w:t>
            </w:r>
          </w:p>
        </w:tc>
      </w:tr>
      <w:tr w:rsidR="00933AE3" w14:paraId="3CE6C324" w14:textId="77777777" w:rsidTr="001E331B">
        <w:tc>
          <w:tcPr>
            <w:tcW w:w="988" w:type="dxa"/>
          </w:tcPr>
          <w:p w14:paraId="5FCD5EC4" w14:textId="77777777" w:rsidR="00933AE3" w:rsidRPr="003F73EE" w:rsidRDefault="00933AE3" w:rsidP="00933AE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8" w:type="dxa"/>
          </w:tcPr>
          <w:p w14:paraId="5C1C7389" w14:textId="77777777" w:rsidR="00933AE3" w:rsidRDefault="00933AE3" w:rsidP="001E331B">
            <w:pPr>
              <w:rPr>
                <w:rFonts w:ascii="Arial" w:hAnsi="Arial" w:cs="Arial"/>
              </w:rPr>
            </w:pPr>
            <w:r w:rsidRPr="00AA1871">
              <w:rPr>
                <w:rFonts w:ascii="Arial" w:hAnsi="Arial" w:cs="Arial"/>
              </w:rPr>
              <w:t>Criteria well met, but with some scope for improvement;</w:t>
            </w:r>
          </w:p>
        </w:tc>
      </w:tr>
      <w:tr w:rsidR="00933AE3" w14:paraId="7D55A8BD" w14:textId="77777777" w:rsidTr="001E331B">
        <w:tc>
          <w:tcPr>
            <w:tcW w:w="988" w:type="dxa"/>
          </w:tcPr>
          <w:p w14:paraId="49C71973" w14:textId="77777777" w:rsidR="00933AE3" w:rsidRDefault="00933AE3" w:rsidP="00933AE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A18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28" w:type="dxa"/>
          </w:tcPr>
          <w:p w14:paraId="7E6827B4" w14:textId="77777777" w:rsidR="00933AE3" w:rsidRDefault="00933AE3" w:rsidP="001E331B">
            <w:pPr>
              <w:rPr>
                <w:rFonts w:ascii="Arial" w:hAnsi="Arial" w:cs="Arial"/>
              </w:rPr>
            </w:pPr>
            <w:r w:rsidRPr="00AA1871">
              <w:rPr>
                <w:rFonts w:ascii="Arial" w:hAnsi="Arial" w:cs="Arial"/>
              </w:rPr>
              <w:t xml:space="preserve">Criteria very well met, </w:t>
            </w:r>
            <w:r>
              <w:rPr>
                <w:rFonts w:ascii="Arial" w:hAnsi="Arial" w:cs="Arial"/>
              </w:rPr>
              <w:t>w</w:t>
            </w:r>
            <w:r w:rsidRPr="00AA1871">
              <w:rPr>
                <w:rFonts w:ascii="Arial" w:hAnsi="Arial" w:cs="Arial"/>
              </w:rPr>
              <w:t>ith only small scope for improvement;</w:t>
            </w:r>
          </w:p>
        </w:tc>
      </w:tr>
      <w:tr w:rsidR="00933AE3" w14:paraId="41FD64C2" w14:textId="77777777" w:rsidTr="001E331B">
        <w:tc>
          <w:tcPr>
            <w:tcW w:w="988" w:type="dxa"/>
          </w:tcPr>
          <w:p w14:paraId="78941E47" w14:textId="77777777" w:rsidR="00933AE3" w:rsidRPr="003F73EE" w:rsidRDefault="00933AE3" w:rsidP="00933AE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F73EE">
              <w:rPr>
                <w:rFonts w:ascii="Arial" w:hAnsi="Arial" w:cs="Arial"/>
              </w:rPr>
              <w:t>5</w:t>
            </w:r>
          </w:p>
        </w:tc>
        <w:tc>
          <w:tcPr>
            <w:tcW w:w="8028" w:type="dxa"/>
          </w:tcPr>
          <w:p w14:paraId="5D37009E" w14:textId="77777777" w:rsidR="00933AE3" w:rsidRDefault="00933AE3" w:rsidP="001E331B">
            <w:pPr>
              <w:rPr>
                <w:rFonts w:ascii="Arial" w:hAnsi="Arial" w:cs="Arial"/>
              </w:rPr>
            </w:pPr>
            <w:r w:rsidRPr="003F73EE">
              <w:rPr>
                <w:rFonts w:ascii="Arial" w:hAnsi="Arial" w:cs="Arial"/>
              </w:rPr>
              <w:t xml:space="preserve">Criteria fully met. </w:t>
            </w:r>
          </w:p>
        </w:tc>
      </w:tr>
      <w:tr w:rsidR="00933AE3" w14:paraId="38CC6F6C" w14:textId="77777777" w:rsidTr="001E331B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23A5976" w14:textId="77777777" w:rsidR="00933AE3" w:rsidRPr="008423FD" w:rsidRDefault="00933AE3" w:rsidP="001E3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note any examples given are for illustration only, and groups might meet the criteria in many other ways.  </w:t>
            </w:r>
          </w:p>
          <w:p w14:paraId="672A6659" w14:textId="77777777" w:rsidR="00933AE3" w:rsidRPr="003F73EE" w:rsidRDefault="00933AE3" w:rsidP="001E331B">
            <w:pPr>
              <w:rPr>
                <w:rFonts w:ascii="Arial" w:hAnsi="Arial" w:cs="Arial"/>
              </w:rPr>
            </w:pPr>
          </w:p>
        </w:tc>
      </w:tr>
    </w:tbl>
    <w:p w14:paraId="0A37501D" w14:textId="77777777" w:rsidR="00CF00E9" w:rsidRDefault="00CF00E9" w:rsidP="00E701E2">
      <w:pPr>
        <w:tabs>
          <w:tab w:val="left" w:pos="6971"/>
        </w:tabs>
        <w:rPr>
          <w:rFonts w:ascii="Arial" w:hAnsi="Arial" w:cs="Arial"/>
          <w:b/>
        </w:rPr>
      </w:pPr>
    </w:p>
    <w:p w14:paraId="60A9FF5A" w14:textId="77777777" w:rsidR="00083C8A" w:rsidRPr="00E701E2" w:rsidRDefault="005A7972" w:rsidP="00E701E2">
      <w:pPr>
        <w:tabs>
          <w:tab w:val="left" w:pos="6971"/>
        </w:tabs>
        <w:rPr>
          <w:rFonts w:ascii="Arial" w:hAnsi="Arial" w:cs="Arial"/>
          <w:b/>
        </w:rPr>
      </w:pPr>
      <w:r w:rsidRPr="00E701E2">
        <w:rPr>
          <w:rFonts w:ascii="Arial" w:hAnsi="Arial" w:cs="Arial"/>
          <w:b/>
        </w:rPr>
        <w:t xml:space="preserve">Community Engagement Criteria </w:t>
      </w:r>
      <w:r w:rsidR="00E701E2" w:rsidRPr="00E701E2">
        <w:rPr>
          <w:rFonts w:ascii="Arial" w:hAnsi="Arial" w:cs="Arial"/>
          <w:b/>
        </w:rPr>
        <w:t>and</w:t>
      </w:r>
      <w:r w:rsidRPr="00E701E2">
        <w:rPr>
          <w:rFonts w:ascii="Arial" w:hAnsi="Arial" w:cs="Arial"/>
          <w:b/>
        </w:rPr>
        <w:t xml:space="preserve"> Score Card </w:t>
      </w:r>
      <w:r w:rsidR="00E701E2"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083C8A" w14:paraId="06E5EA0B" w14:textId="77777777" w:rsidTr="6B301F5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DCAFA5C" w14:textId="7780D4D2" w:rsidR="00083C8A" w:rsidRDefault="000D451B" w:rsidP="12A5D29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12A5D29D">
              <w:rPr>
                <w:rFonts w:ascii="Arial" w:eastAsia="Times New Roman" w:hAnsi="Arial" w:cs="Arial"/>
                <w:b/>
                <w:bCs/>
              </w:rPr>
              <w:t xml:space="preserve">A: </w:t>
            </w:r>
            <w:r w:rsidR="00FF4854" w:rsidRPr="12A5D29D">
              <w:rPr>
                <w:rFonts w:ascii="Arial" w:eastAsia="Times New Roman" w:hAnsi="Arial" w:cs="Arial"/>
                <w:b/>
                <w:bCs/>
              </w:rPr>
              <w:t xml:space="preserve">Engaging </w:t>
            </w:r>
            <w:r w:rsidR="0085716A" w:rsidRPr="12A5D29D">
              <w:rPr>
                <w:rFonts w:ascii="Arial" w:eastAsia="Times New Roman" w:hAnsi="Arial" w:cs="Arial"/>
                <w:b/>
                <w:bCs/>
              </w:rPr>
              <w:t>W</w:t>
            </w:r>
            <w:r w:rsidR="00FF4854" w:rsidRPr="12A5D29D">
              <w:rPr>
                <w:rFonts w:ascii="Arial" w:eastAsia="Times New Roman" w:hAnsi="Arial" w:cs="Arial"/>
                <w:b/>
                <w:bCs/>
              </w:rPr>
              <w:t xml:space="preserve">ith </w:t>
            </w:r>
            <w:r w:rsidR="0085716A" w:rsidRPr="12A5D29D">
              <w:rPr>
                <w:rFonts w:ascii="Arial" w:eastAsia="Times New Roman" w:hAnsi="Arial" w:cs="Arial"/>
                <w:b/>
                <w:bCs/>
              </w:rPr>
              <w:t>L</w:t>
            </w:r>
            <w:r w:rsidR="00FF4854" w:rsidRPr="12A5D29D">
              <w:rPr>
                <w:rFonts w:ascii="Arial" w:eastAsia="Times New Roman" w:hAnsi="Arial" w:cs="Arial"/>
                <w:b/>
                <w:bCs/>
              </w:rPr>
              <w:t xml:space="preserve">ocal </w:t>
            </w:r>
            <w:proofErr w:type="gramStart"/>
            <w:r w:rsidR="0085716A" w:rsidRPr="12A5D29D">
              <w:rPr>
                <w:rFonts w:ascii="Arial" w:eastAsia="Times New Roman" w:hAnsi="Arial" w:cs="Arial"/>
                <w:b/>
                <w:bCs/>
              </w:rPr>
              <w:t>P</w:t>
            </w:r>
            <w:r w:rsidR="00FF4854" w:rsidRPr="12A5D29D">
              <w:rPr>
                <w:rFonts w:ascii="Arial" w:eastAsia="Times New Roman" w:hAnsi="Arial" w:cs="Arial"/>
                <w:b/>
                <w:bCs/>
              </w:rPr>
              <w:t xml:space="preserve">eople </w:t>
            </w:r>
            <w:r w:rsidR="00083C8A" w:rsidRPr="12A5D29D">
              <w:rPr>
                <w:rFonts w:ascii="Arial" w:eastAsia="Times New Roman" w:hAnsi="Arial" w:cs="Arial"/>
                <w:b/>
                <w:bCs/>
              </w:rPr>
              <w:t xml:space="preserve"> –</w:t>
            </w:r>
            <w:proofErr w:type="gramEnd"/>
            <w:r w:rsidR="00083C8A" w:rsidRPr="12A5D29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3832132C" w:rsidRPr="12A5D29D">
              <w:rPr>
                <w:rFonts w:ascii="Arial" w:eastAsia="Times New Roman" w:hAnsi="Arial" w:cs="Arial"/>
                <w:b/>
                <w:bCs/>
              </w:rPr>
              <w:t xml:space="preserve">40% of marks, </w:t>
            </w:r>
            <w:r w:rsidR="00E701E2" w:rsidRPr="12A5D29D">
              <w:rPr>
                <w:rFonts w:ascii="Arial" w:eastAsia="Times New Roman" w:hAnsi="Arial" w:cs="Arial"/>
                <w:b/>
                <w:bCs/>
              </w:rPr>
              <w:t xml:space="preserve">out of 20 </w:t>
            </w:r>
          </w:p>
        </w:tc>
      </w:tr>
      <w:tr w:rsidR="00083C8A" w14:paraId="45C91094" w14:textId="77777777" w:rsidTr="6B301F52">
        <w:tc>
          <w:tcPr>
            <w:tcW w:w="7650" w:type="dxa"/>
          </w:tcPr>
          <w:p w14:paraId="28899E66" w14:textId="77777777" w:rsidR="00083C8A" w:rsidRDefault="006114CC" w:rsidP="001472BA">
            <w:pPr>
              <w:pStyle w:val="ListParagraph"/>
              <w:numPr>
                <w:ilvl w:val="0"/>
                <w:numId w:val="5"/>
              </w:numPr>
              <w:spacing w:after="120"/>
            </w:pPr>
            <w:r>
              <w:rPr>
                <w:rFonts w:ascii="Arial" w:hAnsi="Arial" w:cs="Arial"/>
              </w:rPr>
              <w:t>The</w:t>
            </w:r>
            <w:r w:rsidR="00725FDD">
              <w:rPr>
                <w:rFonts w:ascii="Arial" w:hAnsi="Arial" w:cs="Arial"/>
              </w:rPr>
              <w:t xml:space="preserve">re are </w:t>
            </w:r>
            <w:r>
              <w:rPr>
                <w:rFonts w:ascii="Arial" w:hAnsi="Arial" w:cs="Arial"/>
              </w:rPr>
              <w:t>opportunities for p</w:t>
            </w:r>
            <w:r w:rsidR="00FF4854" w:rsidRPr="000D451B">
              <w:rPr>
                <w:rFonts w:ascii="Arial" w:hAnsi="Arial" w:cs="Arial"/>
              </w:rPr>
              <w:t>eople of all ages and abili</w:t>
            </w:r>
            <w:r w:rsidR="004A526D" w:rsidRPr="000D451B">
              <w:rPr>
                <w:rFonts w:ascii="Arial" w:hAnsi="Arial" w:cs="Arial"/>
              </w:rPr>
              <w:t xml:space="preserve">ties </w:t>
            </w:r>
            <w:r>
              <w:rPr>
                <w:rFonts w:ascii="Arial" w:hAnsi="Arial" w:cs="Arial"/>
              </w:rPr>
              <w:t xml:space="preserve">to </w:t>
            </w:r>
            <w:r w:rsidR="007B64C5">
              <w:rPr>
                <w:rFonts w:ascii="Arial" w:hAnsi="Arial" w:cs="Arial"/>
              </w:rPr>
              <w:t>contribute or p</w:t>
            </w:r>
            <w:r w:rsidR="004A526D" w:rsidRPr="000D451B">
              <w:rPr>
                <w:rFonts w:ascii="Arial" w:hAnsi="Arial" w:cs="Arial"/>
              </w:rPr>
              <w:t>articipate</w:t>
            </w:r>
            <w:r>
              <w:rPr>
                <w:rFonts w:ascii="Arial" w:hAnsi="Arial" w:cs="Arial"/>
              </w:rPr>
              <w:t xml:space="preserve">, </w:t>
            </w:r>
            <w:r w:rsidR="007B64C5">
              <w:rPr>
                <w:rFonts w:ascii="Arial" w:hAnsi="Arial" w:cs="Arial"/>
              </w:rPr>
              <w:t>e</w:t>
            </w:r>
            <w:r w:rsidR="009A1649" w:rsidRPr="000D451B">
              <w:rPr>
                <w:rFonts w:ascii="Arial" w:hAnsi="Arial" w:cs="Arial"/>
              </w:rPr>
              <w:t xml:space="preserve">.g. there </w:t>
            </w:r>
            <w:r>
              <w:rPr>
                <w:rFonts w:ascii="Arial" w:hAnsi="Arial" w:cs="Arial"/>
              </w:rPr>
              <w:t xml:space="preserve">are </w:t>
            </w:r>
            <w:r w:rsidR="00FF4854" w:rsidRPr="000D451B">
              <w:rPr>
                <w:rFonts w:ascii="Arial" w:hAnsi="Arial" w:cs="Arial"/>
              </w:rPr>
              <w:t xml:space="preserve">range of activities </w:t>
            </w:r>
            <w:r>
              <w:rPr>
                <w:rFonts w:ascii="Arial" w:hAnsi="Arial" w:cs="Arial"/>
              </w:rPr>
              <w:t xml:space="preserve">throughout the year, such as </w:t>
            </w:r>
            <w:r w:rsidR="000D451B" w:rsidRPr="000D451B">
              <w:rPr>
                <w:rFonts w:ascii="Arial" w:hAnsi="Arial" w:cs="Arial"/>
              </w:rPr>
              <w:t>gardening</w:t>
            </w:r>
            <w:r w:rsidR="007B64C5">
              <w:rPr>
                <w:rFonts w:ascii="Arial" w:hAnsi="Arial" w:cs="Arial"/>
              </w:rPr>
              <w:t xml:space="preserve">, </w:t>
            </w:r>
            <w:r w:rsidR="00FF4854" w:rsidRPr="000D451B">
              <w:rPr>
                <w:rFonts w:ascii="Arial" w:hAnsi="Arial" w:cs="Arial"/>
              </w:rPr>
              <w:t xml:space="preserve">plant swap events, litter pick days, learning </w:t>
            </w:r>
            <w:r w:rsidR="000D451B" w:rsidRPr="000D451B">
              <w:rPr>
                <w:rFonts w:ascii="Arial" w:hAnsi="Arial" w:cs="Arial"/>
              </w:rPr>
              <w:t xml:space="preserve">opportunities, </w:t>
            </w:r>
            <w:r w:rsidR="00FF4854" w:rsidRPr="000D451B">
              <w:rPr>
                <w:rFonts w:ascii="Arial" w:hAnsi="Arial" w:cs="Arial"/>
              </w:rPr>
              <w:t>art</w:t>
            </w:r>
            <w:r w:rsidR="000D451B" w:rsidRPr="000D451B">
              <w:rPr>
                <w:rFonts w:ascii="Arial" w:hAnsi="Arial" w:cs="Arial"/>
              </w:rPr>
              <w:t xml:space="preserve">, </w:t>
            </w:r>
            <w:proofErr w:type="gramStart"/>
            <w:r w:rsidR="000D451B" w:rsidRPr="000D451B">
              <w:rPr>
                <w:rFonts w:ascii="Arial" w:hAnsi="Arial" w:cs="Arial"/>
              </w:rPr>
              <w:t>crafts</w:t>
            </w:r>
            <w:proofErr w:type="gramEnd"/>
            <w:r w:rsidR="000D451B" w:rsidRPr="000D451B">
              <w:rPr>
                <w:rFonts w:ascii="Arial" w:hAnsi="Arial" w:cs="Arial"/>
              </w:rPr>
              <w:t xml:space="preserve"> and storytelling, </w:t>
            </w:r>
            <w:r w:rsidR="00FF4854" w:rsidRPr="000D451B">
              <w:rPr>
                <w:rFonts w:ascii="Arial" w:hAnsi="Arial" w:cs="Arial"/>
              </w:rPr>
              <w:t>etc.</w:t>
            </w:r>
          </w:p>
        </w:tc>
        <w:tc>
          <w:tcPr>
            <w:tcW w:w="1366" w:type="dxa"/>
          </w:tcPr>
          <w:p w14:paraId="3D560A2A" w14:textId="77777777" w:rsidR="00083C8A" w:rsidRDefault="00083C8A" w:rsidP="0022284C">
            <w:pPr>
              <w:contextualSpacing/>
              <w:jc w:val="right"/>
            </w:pPr>
            <w:r>
              <w:rPr>
                <w:rFonts w:ascii="Arial" w:hAnsi="Arial" w:cs="Arial"/>
              </w:rPr>
              <w:t xml:space="preserve">           </w:t>
            </w:r>
            <w:r w:rsidR="0022284C">
              <w:rPr>
                <w:rFonts w:ascii="Arial" w:hAnsi="Arial" w:cs="Arial"/>
              </w:rPr>
              <w:t>/5</w:t>
            </w:r>
          </w:p>
        </w:tc>
      </w:tr>
      <w:tr w:rsidR="00083C8A" w14:paraId="66E94AB6" w14:textId="77777777" w:rsidTr="6B301F52">
        <w:tc>
          <w:tcPr>
            <w:tcW w:w="7650" w:type="dxa"/>
          </w:tcPr>
          <w:p w14:paraId="2BC4CFFE" w14:textId="77777777" w:rsidR="00FF4854" w:rsidRDefault="000D451B" w:rsidP="00E701E2">
            <w:pPr>
              <w:pStyle w:val="ListParagraph"/>
              <w:numPr>
                <w:ilvl w:val="0"/>
                <w:numId w:val="3"/>
              </w:numPr>
              <w:spacing w:after="120"/>
            </w:pPr>
            <w:r>
              <w:rPr>
                <w:rFonts w:ascii="Arial" w:hAnsi="Arial" w:cs="Arial"/>
              </w:rPr>
              <w:t xml:space="preserve">The group encourages </w:t>
            </w:r>
            <w:r w:rsidRPr="009E571D">
              <w:rPr>
                <w:rFonts w:ascii="Arial" w:hAnsi="Arial" w:cs="Arial"/>
              </w:rPr>
              <w:t xml:space="preserve">inclusivity and diversity </w:t>
            </w:r>
            <w:r w:rsidR="006114CC">
              <w:rPr>
                <w:rFonts w:ascii="Arial" w:hAnsi="Arial" w:cs="Arial"/>
              </w:rPr>
              <w:t xml:space="preserve">and </w:t>
            </w:r>
            <w:r w:rsidRPr="009E571D">
              <w:rPr>
                <w:rFonts w:ascii="Arial" w:hAnsi="Arial" w:cs="Arial"/>
              </w:rPr>
              <w:t>is reflective of the local community</w:t>
            </w:r>
            <w:r>
              <w:rPr>
                <w:rFonts w:ascii="Arial" w:hAnsi="Arial" w:cs="Arial"/>
              </w:rPr>
              <w:t xml:space="preserve">, e.g. </w:t>
            </w:r>
            <w:r w:rsidR="006114CC">
              <w:rPr>
                <w:rFonts w:ascii="Arial" w:hAnsi="Arial" w:cs="Arial"/>
              </w:rPr>
              <w:t>achievable by</w:t>
            </w:r>
            <w:r>
              <w:rPr>
                <w:rFonts w:ascii="Arial" w:hAnsi="Arial" w:cs="Arial"/>
              </w:rPr>
              <w:t xml:space="preserve"> creating targeted </w:t>
            </w:r>
            <w:r w:rsidR="00FF4854" w:rsidRPr="009A1649">
              <w:rPr>
                <w:rFonts w:ascii="Arial" w:hAnsi="Arial" w:cs="Arial"/>
              </w:rPr>
              <w:t xml:space="preserve">engagement opportunities for </w:t>
            </w:r>
            <w:r>
              <w:rPr>
                <w:rFonts w:ascii="Arial" w:hAnsi="Arial" w:cs="Arial"/>
              </w:rPr>
              <w:t xml:space="preserve">people </w:t>
            </w:r>
            <w:r w:rsidRPr="009A1649">
              <w:rPr>
                <w:rFonts w:ascii="Arial" w:hAnsi="Arial" w:cs="Arial"/>
              </w:rPr>
              <w:t>that are traditionally under-represented in gardening</w:t>
            </w:r>
            <w:r>
              <w:rPr>
                <w:rFonts w:ascii="Arial" w:hAnsi="Arial" w:cs="Arial"/>
              </w:rPr>
              <w:t xml:space="preserve">, or </w:t>
            </w:r>
            <w:r w:rsidR="006114CC">
              <w:rPr>
                <w:rFonts w:ascii="Arial" w:hAnsi="Arial" w:cs="Arial"/>
              </w:rPr>
              <w:t xml:space="preserve">local </w:t>
            </w:r>
            <w:r w:rsidR="00FF4854" w:rsidRPr="009A1649">
              <w:rPr>
                <w:rFonts w:ascii="Arial" w:hAnsi="Arial" w:cs="Arial"/>
              </w:rPr>
              <w:t xml:space="preserve">marginalised </w:t>
            </w:r>
            <w:r w:rsidR="009A1649">
              <w:rPr>
                <w:rFonts w:ascii="Arial" w:hAnsi="Arial" w:cs="Arial"/>
              </w:rPr>
              <w:t>groups</w:t>
            </w:r>
            <w:r w:rsidR="00FF4854" w:rsidRPr="009A164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such as those </w:t>
            </w:r>
            <w:r w:rsidR="00FF4854" w:rsidRPr="00FF4854">
              <w:rPr>
                <w:rFonts w:ascii="Arial" w:hAnsi="Arial" w:cs="Arial"/>
              </w:rPr>
              <w:t xml:space="preserve">with special educational needs and disabilities (SEND), refugee communities, </w:t>
            </w:r>
            <w:r>
              <w:rPr>
                <w:rFonts w:ascii="Arial" w:hAnsi="Arial" w:cs="Arial"/>
              </w:rPr>
              <w:t xml:space="preserve">or </w:t>
            </w:r>
            <w:r w:rsidR="00FF4854" w:rsidRPr="00FF4854">
              <w:rPr>
                <w:rFonts w:ascii="Arial" w:hAnsi="Arial" w:cs="Arial"/>
              </w:rPr>
              <w:t>new migrants</w:t>
            </w:r>
            <w:r w:rsidR="00FF4854">
              <w:rPr>
                <w:rFonts w:ascii="Arial" w:hAnsi="Arial" w:cs="Arial"/>
              </w:rPr>
              <w:t>,</w:t>
            </w:r>
            <w:r w:rsidR="00FF4854" w:rsidRPr="00FF4854">
              <w:rPr>
                <w:rFonts w:ascii="Arial" w:hAnsi="Arial" w:cs="Arial"/>
              </w:rPr>
              <w:t xml:space="preserve"> etc. </w:t>
            </w:r>
          </w:p>
        </w:tc>
        <w:tc>
          <w:tcPr>
            <w:tcW w:w="1366" w:type="dxa"/>
          </w:tcPr>
          <w:p w14:paraId="7656AEDC" w14:textId="77777777" w:rsidR="00083C8A" w:rsidRDefault="0022284C" w:rsidP="0022284C">
            <w:pPr>
              <w:contextualSpacing/>
              <w:jc w:val="right"/>
            </w:pPr>
            <w:r>
              <w:rPr>
                <w:rFonts w:ascii="Arial" w:hAnsi="Arial" w:cs="Arial"/>
              </w:rPr>
              <w:t>/5</w:t>
            </w:r>
          </w:p>
        </w:tc>
      </w:tr>
      <w:tr w:rsidR="00FF4854" w14:paraId="16666B7F" w14:textId="77777777" w:rsidTr="6B301F52">
        <w:tc>
          <w:tcPr>
            <w:tcW w:w="7650" w:type="dxa"/>
          </w:tcPr>
          <w:p w14:paraId="19E8CE71" w14:textId="77777777" w:rsidR="000D451B" w:rsidRDefault="00725FDD" w:rsidP="00725FDD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rPr>
                <w:rFonts w:ascii="Arial" w:hAnsi="Arial" w:cs="Arial"/>
              </w:rPr>
              <w:t xml:space="preserve">Everyone </w:t>
            </w:r>
            <w:proofErr w:type="gramStart"/>
            <w:r>
              <w:rPr>
                <w:rFonts w:ascii="Arial" w:hAnsi="Arial" w:cs="Arial"/>
              </w:rPr>
              <w:t>is able to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0D451B">
              <w:rPr>
                <w:rFonts w:ascii="Arial" w:hAnsi="Arial" w:cs="Arial"/>
              </w:rPr>
              <w:t xml:space="preserve">be involved </w:t>
            </w:r>
            <w:r w:rsidR="00FF4854" w:rsidRPr="009A1649">
              <w:rPr>
                <w:rFonts w:ascii="Arial" w:hAnsi="Arial" w:cs="Arial"/>
              </w:rPr>
              <w:t xml:space="preserve">in </w:t>
            </w:r>
            <w:r w:rsidR="000D451B">
              <w:rPr>
                <w:rFonts w:ascii="Arial" w:hAnsi="Arial" w:cs="Arial"/>
              </w:rPr>
              <w:t xml:space="preserve">consultation, </w:t>
            </w:r>
            <w:r w:rsidR="00FF4854" w:rsidRPr="009A1649">
              <w:rPr>
                <w:rFonts w:ascii="Arial" w:hAnsi="Arial" w:cs="Arial"/>
              </w:rPr>
              <w:t>co-creation</w:t>
            </w:r>
            <w:r w:rsidR="009A1649" w:rsidRPr="009A1649">
              <w:rPr>
                <w:rFonts w:ascii="Arial" w:hAnsi="Arial" w:cs="Arial"/>
              </w:rPr>
              <w:t>, p</w:t>
            </w:r>
            <w:r w:rsidR="00FF4854" w:rsidRPr="009A1649">
              <w:rPr>
                <w:rFonts w:ascii="Arial" w:hAnsi="Arial" w:cs="Arial"/>
              </w:rPr>
              <w:t>lanning and implementation</w:t>
            </w:r>
            <w:r w:rsidR="009A1649" w:rsidRPr="009A1649">
              <w:rPr>
                <w:rFonts w:ascii="Arial" w:hAnsi="Arial" w:cs="Arial"/>
              </w:rPr>
              <w:t xml:space="preserve"> of projects,</w:t>
            </w:r>
            <w:r w:rsidR="00FF4854" w:rsidRPr="00A8479F">
              <w:rPr>
                <w:rFonts w:ascii="Arial" w:hAnsi="Arial" w:cs="Arial"/>
              </w:rPr>
              <w:t xml:space="preserve"> e.g. </w:t>
            </w:r>
            <w:r>
              <w:rPr>
                <w:rFonts w:ascii="Arial" w:hAnsi="Arial" w:cs="Arial"/>
              </w:rPr>
              <w:t>consulting d</w:t>
            </w:r>
            <w:r w:rsidR="00FF4854" w:rsidRPr="00A8479F">
              <w:rPr>
                <w:rFonts w:ascii="Arial" w:hAnsi="Arial" w:cs="Arial"/>
              </w:rPr>
              <w:t>i</w:t>
            </w:r>
            <w:r w:rsidR="0085716A">
              <w:rPr>
                <w:rFonts w:ascii="Arial" w:hAnsi="Arial" w:cs="Arial"/>
              </w:rPr>
              <w:t>fferent</w:t>
            </w:r>
            <w:r w:rsidR="00FF4854" w:rsidRPr="00A8479F">
              <w:rPr>
                <w:rFonts w:ascii="Arial" w:hAnsi="Arial" w:cs="Arial"/>
              </w:rPr>
              <w:t xml:space="preserve"> groups on how to create a welcoming and safe gardening space suited to their needs etc.</w:t>
            </w:r>
          </w:p>
        </w:tc>
        <w:tc>
          <w:tcPr>
            <w:tcW w:w="1366" w:type="dxa"/>
          </w:tcPr>
          <w:p w14:paraId="78547F98" w14:textId="77777777" w:rsidR="00FF4854" w:rsidRDefault="0022284C" w:rsidP="0022284C">
            <w:pPr>
              <w:contextualSpacing/>
              <w:jc w:val="right"/>
            </w:pPr>
            <w:r>
              <w:rPr>
                <w:rFonts w:ascii="Arial" w:hAnsi="Arial" w:cs="Arial"/>
              </w:rPr>
              <w:t>/5</w:t>
            </w:r>
          </w:p>
        </w:tc>
      </w:tr>
      <w:tr w:rsidR="00FF4854" w14:paraId="21FF27D7" w14:textId="77777777" w:rsidTr="6B301F52">
        <w:tc>
          <w:tcPr>
            <w:tcW w:w="7650" w:type="dxa"/>
          </w:tcPr>
          <w:p w14:paraId="4B806989" w14:textId="77777777" w:rsidR="00FF4854" w:rsidRDefault="00FF4854" w:rsidP="00EC46C7">
            <w:pPr>
              <w:pStyle w:val="ListParagraph"/>
              <w:numPr>
                <w:ilvl w:val="0"/>
                <w:numId w:val="2"/>
              </w:numPr>
              <w:spacing w:after="120"/>
            </w:pPr>
            <w:r w:rsidRPr="009A1649">
              <w:rPr>
                <w:rFonts w:ascii="Arial" w:hAnsi="Arial" w:cs="Arial"/>
              </w:rPr>
              <w:t>A</w:t>
            </w:r>
            <w:r w:rsidR="000D451B">
              <w:rPr>
                <w:rFonts w:ascii="Arial" w:hAnsi="Arial" w:cs="Arial"/>
              </w:rPr>
              <w:t xml:space="preserve"> range of </w:t>
            </w:r>
            <w:r w:rsidRPr="009A1649">
              <w:rPr>
                <w:rFonts w:ascii="Arial" w:hAnsi="Arial" w:cs="Arial"/>
              </w:rPr>
              <w:t>communication methods used to engage the local community</w:t>
            </w:r>
            <w:r w:rsidR="00043239" w:rsidRPr="009A1649">
              <w:rPr>
                <w:rFonts w:ascii="Arial" w:hAnsi="Arial" w:cs="Arial"/>
              </w:rPr>
              <w:t>,</w:t>
            </w:r>
            <w:r w:rsidR="00043239">
              <w:rPr>
                <w:rFonts w:ascii="Arial" w:hAnsi="Arial" w:cs="Arial"/>
              </w:rPr>
              <w:t xml:space="preserve"> </w:t>
            </w:r>
            <w:r w:rsidR="000D451B">
              <w:rPr>
                <w:rFonts w:ascii="Arial" w:hAnsi="Arial" w:cs="Arial"/>
              </w:rPr>
              <w:t>including</w:t>
            </w:r>
            <w:r w:rsidRPr="00A847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ta</w:t>
            </w:r>
            <w:r w:rsidR="009A1649">
              <w:rPr>
                <w:rFonts w:ascii="Arial" w:hAnsi="Arial" w:cs="Arial"/>
              </w:rPr>
              <w:t>ilor</w:t>
            </w:r>
            <w:r w:rsidR="000D451B">
              <w:rPr>
                <w:rFonts w:ascii="Arial" w:hAnsi="Arial" w:cs="Arial"/>
              </w:rPr>
              <w:t xml:space="preserve">ing communications </w:t>
            </w:r>
            <w:r w:rsidR="006114CC">
              <w:rPr>
                <w:rFonts w:ascii="Arial" w:hAnsi="Arial" w:cs="Arial"/>
              </w:rPr>
              <w:t xml:space="preserve">for </w:t>
            </w:r>
            <w:r w:rsidR="00254B85">
              <w:rPr>
                <w:rFonts w:ascii="Arial" w:hAnsi="Arial" w:cs="Arial"/>
              </w:rPr>
              <w:t xml:space="preserve">specific </w:t>
            </w:r>
            <w:r>
              <w:rPr>
                <w:rFonts w:ascii="Arial" w:hAnsi="Arial" w:cs="Arial"/>
              </w:rPr>
              <w:t>audience</w:t>
            </w:r>
            <w:r w:rsidR="00254B8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, </w:t>
            </w:r>
            <w:r w:rsidR="000D451B">
              <w:rPr>
                <w:rFonts w:ascii="Arial" w:hAnsi="Arial" w:cs="Arial"/>
              </w:rPr>
              <w:t xml:space="preserve">e.g. </w:t>
            </w:r>
            <w:r w:rsidRPr="00A8479F">
              <w:rPr>
                <w:rFonts w:ascii="Arial" w:hAnsi="Arial" w:cs="Arial"/>
              </w:rPr>
              <w:t xml:space="preserve">translated newsletters, </w:t>
            </w:r>
            <w:r w:rsidR="00043239">
              <w:rPr>
                <w:rFonts w:ascii="Arial" w:hAnsi="Arial" w:cs="Arial"/>
              </w:rPr>
              <w:t xml:space="preserve">social media, </w:t>
            </w:r>
            <w:r>
              <w:rPr>
                <w:rFonts w:ascii="Arial" w:hAnsi="Arial" w:cs="Arial"/>
              </w:rPr>
              <w:t xml:space="preserve">or ensuring </w:t>
            </w:r>
            <w:r w:rsidRPr="00A8479F">
              <w:rPr>
                <w:rFonts w:ascii="Arial" w:hAnsi="Arial" w:cs="Arial"/>
              </w:rPr>
              <w:t xml:space="preserve">open days are accessible etc. </w:t>
            </w:r>
          </w:p>
        </w:tc>
        <w:tc>
          <w:tcPr>
            <w:tcW w:w="1366" w:type="dxa"/>
          </w:tcPr>
          <w:p w14:paraId="6AF365E4" w14:textId="77777777" w:rsidR="00FF4854" w:rsidRDefault="0022284C" w:rsidP="0022284C">
            <w:pPr>
              <w:contextualSpacing/>
              <w:jc w:val="right"/>
            </w:pPr>
            <w:r>
              <w:rPr>
                <w:rFonts w:ascii="Arial" w:hAnsi="Arial" w:cs="Arial"/>
              </w:rPr>
              <w:t>/5</w:t>
            </w:r>
          </w:p>
        </w:tc>
      </w:tr>
      <w:tr w:rsidR="00FF4854" w14:paraId="69C92048" w14:textId="77777777" w:rsidTr="6B301F52">
        <w:tc>
          <w:tcPr>
            <w:tcW w:w="7650" w:type="dxa"/>
            <w:shd w:val="clear" w:color="auto" w:fill="F2F2F2" w:themeFill="background1" w:themeFillShade="F2"/>
          </w:tcPr>
          <w:p w14:paraId="1E7172E8" w14:textId="77777777" w:rsidR="00FF4854" w:rsidRDefault="00FF4854" w:rsidP="000D451B">
            <w:pPr>
              <w:spacing w:before="120"/>
              <w:contextualSpacing/>
              <w:rPr>
                <w:rFonts w:ascii="Arial" w:hAnsi="Arial" w:cs="Arial"/>
                <w:b/>
                <w:u w:val="single"/>
              </w:rPr>
            </w:pPr>
            <w:r w:rsidRPr="0005077B">
              <w:rPr>
                <w:rFonts w:ascii="Arial" w:hAnsi="Arial" w:cs="Arial"/>
                <w:b/>
                <w:u w:val="single"/>
              </w:rPr>
              <w:t xml:space="preserve">Section Total </w:t>
            </w:r>
          </w:p>
          <w:p w14:paraId="5DAB6C7B" w14:textId="77777777" w:rsidR="000D451B" w:rsidRPr="0005077B" w:rsidRDefault="000D451B" w:rsidP="000D451B">
            <w:pPr>
              <w:spacing w:before="120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66" w:type="dxa"/>
            <w:shd w:val="clear" w:color="auto" w:fill="F2F2F2" w:themeFill="background1" w:themeFillShade="F2"/>
          </w:tcPr>
          <w:p w14:paraId="412ADD1C" w14:textId="77777777" w:rsidR="00FF4854" w:rsidRPr="0005077B" w:rsidRDefault="0022284C" w:rsidP="0022284C">
            <w:pPr>
              <w:contextualSpacing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          /20</w:t>
            </w:r>
            <w:r w:rsidR="00FF4854" w:rsidRPr="0005077B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  <w:tr w:rsidR="0023129A" w14:paraId="02EB378F" w14:textId="77777777" w:rsidTr="6B301F52">
        <w:tc>
          <w:tcPr>
            <w:tcW w:w="9016" w:type="dxa"/>
            <w:gridSpan w:val="2"/>
          </w:tcPr>
          <w:p w14:paraId="6A05A809" w14:textId="77777777" w:rsidR="0023129A" w:rsidRDefault="0023129A" w:rsidP="0022284C">
            <w:pPr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  <w:tr w:rsidR="00043239" w14:paraId="20DD98B2" w14:textId="77777777" w:rsidTr="6B301F5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B2D81F0" w14:textId="319E242E" w:rsidR="00043239" w:rsidRDefault="00043239" w:rsidP="12A5D29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12A5D29D">
              <w:rPr>
                <w:rFonts w:ascii="Arial" w:eastAsia="Times New Roman" w:hAnsi="Arial" w:cs="Arial"/>
                <w:b/>
                <w:bCs/>
              </w:rPr>
              <w:lastRenderedPageBreak/>
              <w:t xml:space="preserve">Engaging </w:t>
            </w:r>
            <w:r w:rsidR="0085716A" w:rsidRPr="12A5D29D">
              <w:rPr>
                <w:rFonts w:ascii="Arial" w:eastAsia="Times New Roman" w:hAnsi="Arial" w:cs="Arial"/>
                <w:b/>
                <w:bCs/>
              </w:rPr>
              <w:t>W</w:t>
            </w:r>
            <w:r w:rsidRPr="12A5D29D">
              <w:rPr>
                <w:rFonts w:ascii="Arial" w:eastAsia="Times New Roman" w:hAnsi="Arial" w:cs="Arial"/>
                <w:b/>
                <w:bCs/>
              </w:rPr>
              <w:t xml:space="preserve">ith </w:t>
            </w:r>
            <w:proofErr w:type="gramStart"/>
            <w:r w:rsidR="0085716A" w:rsidRPr="12A5D29D">
              <w:rPr>
                <w:rFonts w:ascii="Arial" w:eastAsia="Times New Roman" w:hAnsi="Arial" w:cs="Arial"/>
                <w:b/>
                <w:bCs/>
              </w:rPr>
              <w:t>T</w:t>
            </w:r>
            <w:r w:rsidRPr="12A5D29D">
              <w:rPr>
                <w:rFonts w:ascii="Arial" w:eastAsia="Times New Roman" w:hAnsi="Arial" w:cs="Arial"/>
                <w:b/>
                <w:bCs/>
              </w:rPr>
              <w:t>he</w:t>
            </w:r>
            <w:proofErr w:type="gramEnd"/>
            <w:r w:rsidRPr="12A5D29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85716A" w:rsidRPr="12A5D29D">
              <w:rPr>
                <w:rFonts w:ascii="Arial" w:eastAsia="Times New Roman" w:hAnsi="Arial" w:cs="Arial"/>
                <w:b/>
                <w:bCs/>
              </w:rPr>
              <w:t>W</w:t>
            </w:r>
            <w:r w:rsidRPr="12A5D29D">
              <w:rPr>
                <w:rFonts w:ascii="Arial" w:eastAsia="Times New Roman" w:hAnsi="Arial" w:cs="Arial"/>
                <w:b/>
                <w:bCs/>
              </w:rPr>
              <w:t xml:space="preserve">ider </w:t>
            </w:r>
            <w:r w:rsidR="0085716A" w:rsidRPr="12A5D29D">
              <w:rPr>
                <w:rFonts w:ascii="Arial" w:eastAsia="Times New Roman" w:hAnsi="Arial" w:cs="Arial"/>
                <w:b/>
                <w:bCs/>
              </w:rPr>
              <w:t>C</w:t>
            </w:r>
            <w:r w:rsidRPr="12A5D29D">
              <w:rPr>
                <w:rFonts w:ascii="Arial" w:eastAsia="Times New Roman" w:hAnsi="Arial" w:cs="Arial"/>
                <w:b/>
                <w:bCs/>
              </w:rPr>
              <w:t xml:space="preserve">ommunity – </w:t>
            </w:r>
            <w:r w:rsidR="3B53E8D0" w:rsidRPr="12A5D29D">
              <w:rPr>
                <w:rFonts w:ascii="Arial" w:eastAsia="Times New Roman" w:hAnsi="Arial" w:cs="Arial"/>
                <w:b/>
                <w:bCs/>
              </w:rPr>
              <w:t xml:space="preserve">30% of marks, </w:t>
            </w:r>
            <w:r w:rsidR="00E701E2" w:rsidRPr="12A5D29D">
              <w:rPr>
                <w:rFonts w:ascii="Arial" w:eastAsia="Times New Roman" w:hAnsi="Arial" w:cs="Arial"/>
                <w:b/>
                <w:bCs/>
              </w:rPr>
              <w:t>out of</w:t>
            </w:r>
            <w:r w:rsidR="73BE34F2" w:rsidRPr="12A5D29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E701E2" w:rsidRPr="12A5D29D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</w:tr>
      <w:tr w:rsidR="00043239" w14:paraId="686F5650" w14:textId="77777777" w:rsidTr="6B301F52">
        <w:tc>
          <w:tcPr>
            <w:tcW w:w="7650" w:type="dxa"/>
          </w:tcPr>
          <w:p w14:paraId="3E10B6ED" w14:textId="77777777" w:rsidR="00043239" w:rsidRPr="0085716A" w:rsidRDefault="001472BA" w:rsidP="001472BA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</w:pPr>
            <w:r>
              <w:rPr>
                <w:rFonts w:ascii="Arial" w:hAnsi="Arial" w:cs="Arial"/>
              </w:rPr>
              <w:t>Creating s</w:t>
            </w:r>
            <w:r w:rsidR="006114CC">
              <w:rPr>
                <w:rFonts w:ascii="Arial" w:hAnsi="Arial" w:cs="Arial"/>
              </w:rPr>
              <w:t xml:space="preserve">trong local partnerships, e.g. with councils, Business Improvement Districts (BID), local businesses, </w:t>
            </w:r>
            <w:proofErr w:type="gramStart"/>
            <w:r w:rsidR="00043239" w:rsidRPr="0085716A">
              <w:rPr>
                <w:rFonts w:ascii="Arial" w:hAnsi="Arial" w:cs="Arial"/>
              </w:rPr>
              <w:t>residents</w:t>
            </w:r>
            <w:proofErr w:type="gramEnd"/>
            <w:r w:rsidR="006114CC">
              <w:rPr>
                <w:rFonts w:ascii="Arial" w:hAnsi="Arial" w:cs="Arial"/>
              </w:rPr>
              <w:t xml:space="preserve"> associations,</w:t>
            </w:r>
            <w:r w:rsidR="00043239" w:rsidRPr="0085716A">
              <w:rPr>
                <w:rFonts w:ascii="Arial" w:hAnsi="Arial" w:cs="Arial"/>
              </w:rPr>
              <w:t xml:space="preserve"> schools, </w:t>
            </w:r>
            <w:r w:rsidR="006114CC">
              <w:rPr>
                <w:rFonts w:ascii="Arial" w:hAnsi="Arial" w:cs="Arial"/>
              </w:rPr>
              <w:t xml:space="preserve">or other </w:t>
            </w:r>
            <w:r w:rsidR="00043239" w:rsidRPr="0085716A">
              <w:rPr>
                <w:rFonts w:ascii="Arial" w:hAnsi="Arial" w:cs="Arial"/>
              </w:rPr>
              <w:t>voluntary groups</w:t>
            </w:r>
            <w:r w:rsidR="006114CC">
              <w:rPr>
                <w:rFonts w:ascii="Arial" w:hAnsi="Arial" w:cs="Arial"/>
              </w:rPr>
              <w:t xml:space="preserve"> or </w:t>
            </w:r>
            <w:r w:rsidR="00043239" w:rsidRPr="0085716A">
              <w:rPr>
                <w:rFonts w:ascii="Arial" w:hAnsi="Arial" w:cs="Arial"/>
              </w:rPr>
              <w:t>clubs</w:t>
            </w:r>
            <w:r w:rsidR="006114C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366" w:type="dxa"/>
          </w:tcPr>
          <w:p w14:paraId="41A97FA8" w14:textId="77777777" w:rsidR="00043239" w:rsidRDefault="0022284C" w:rsidP="0022284C">
            <w:pPr>
              <w:spacing w:line="360" w:lineRule="auto"/>
              <w:contextualSpacing/>
              <w:jc w:val="right"/>
            </w:pPr>
            <w:r>
              <w:rPr>
                <w:rFonts w:ascii="Arial" w:hAnsi="Arial" w:cs="Arial"/>
              </w:rPr>
              <w:t>/5</w:t>
            </w:r>
          </w:p>
        </w:tc>
      </w:tr>
      <w:tr w:rsidR="00043239" w14:paraId="7F19B4B8" w14:textId="77777777" w:rsidTr="6B301F52">
        <w:tc>
          <w:tcPr>
            <w:tcW w:w="7650" w:type="dxa"/>
          </w:tcPr>
          <w:p w14:paraId="2E28629D" w14:textId="77777777" w:rsidR="00043239" w:rsidRPr="001655F7" w:rsidRDefault="001472BA" w:rsidP="0023129A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 w:rsidRPr="001655F7">
              <w:rPr>
                <w:rFonts w:ascii="Arial" w:hAnsi="Arial" w:cs="Arial"/>
              </w:rPr>
              <w:t xml:space="preserve">Securing </w:t>
            </w:r>
            <w:r w:rsidR="00043239" w:rsidRPr="001655F7">
              <w:rPr>
                <w:rFonts w:ascii="Arial" w:hAnsi="Arial" w:cs="Arial"/>
              </w:rPr>
              <w:t xml:space="preserve">funding from </w:t>
            </w:r>
            <w:r w:rsidR="006114CC" w:rsidRPr="001655F7">
              <w:rPr>
                <w:rFonts w:ascii="Arial" w:hAnsi="Arial" w:cs="Arial"/>
              </w:rPr>
              <w:t xml:space="preserve">a range of </w:t>
            </w:r>
            <w:r w:rsidR="0085716A" w:rsidRPr="001655F7">
              <w:rPr>
                <w:rFonts w:ascii="Arial" w:hAnsi="Arial" w:cs="Arial"/>
              </w:rPr>
              <w:t>different sources</w:t>
            </w:r>
            <w:r w:rsidR="009A1649" w:rsidRPr="001655F7">
              <w:rPr>
                <w:rFonts w:ascii="Arial" w:hAnsi="Arial" w:cs="Arial"/>
              </w:rPr>
              <w:t>,</w:t>
            </w:r>
            <w:r w:rsidR="00043239" w:rsidRPr="001655F7">
              <w:rPr>
                <w:rFonts w:ascii="Arial" w:hAnsi="Arial" w:cs="Arial"/>
              </w:rPr>
              <w:t xml:space="preserve"> e.g. </w:t>
            </w:r>
            <w:r w:rsidR="009A1649" w:rsidRPr="001655F7">
              <w:rPr>
                <w:rFonts w:ascii="Arial" w:hAnsi="Arial" w:cs="Arial"/>
              </w:rPr>
              <w:t>f</w:t>
            </w:r>
            <w:r w:rsidR="00043239" w:rsidRPr="001655F7">
              <w:rPr>
                <w:rFonts w:ascii="Arial" w:hAnsi="Arial" w:cs="Arial"/>
              </w:rPr>
              <w:t xml:space="preserve">undraising from the local community, local business sponsorship, plant sale events, </w:t>
            </w:r>
            <w:r w:rsidR="009A1649" w:rsidRPr="001655F7">
              <w:rPr>
                <w:rFonts w:ascii="Arial" w:hAnsi="Arial" w:cs="Arial"/>
              </w:rPr>
              <w:t xml:space="preserve">grants, </w:t>
            </w:r>
            <w:r w:rsidR="00043239" w:rsidRPr="001655F7">
              <w:rPr>
                <w:rFonts w:ascii="Arial" w:hAnsi="Arial" w:cs="Arial"/>
              </w:rPr>
              <w:t>etc.</w:t>
            </w:r>
          </w:p>
        </w:tc>
        <w:tc>
          <w:tcPr>
            <w:tcW w:w="1366" w:type="dxa"/>
          </w:tcPr>
          <w:p w14:paraId="5ED0CD6A" w14:textId="77777777" w:rsidR="00043239" w:rsidRDefault="0022284C" w:rsidP="0022284C">
            <w:pPr>
              <w:contextualSpacing/>
              <w:jc w:val="right"/>
            </w:pPr>
            <w:r>
              <w:rPr>
                <w:rFonts w:ascii="Arial" w:hAnsi="Arial" w:cs="Arial"/>
              </w:rPr>
              <w:t>/5</w:t>
            </w:r>
          </w:p>
        </w:tc>
      </w:tr>
      <w:tr w:rsidR="00043239" w14:paraId="46500E2D" w14:textId="77777777" w:rsidTr="6B301F52">
        <w:tc>
          <w:tcPr>
            <w:tcW w:w="7650" w:type="dxa"/>
          </w:tcPr>
          <w:p w14:paraId="2AB72559" w14:textId="77777777" w:rsidR="00EC46C7" w:rsidRPr="001655F7" w:rsidRDefault="001472BA" w:rsidP="0023129A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</w:pPr>
            <w:r w:rsidRPr="001655F7">
              <w:rPr>
                <w:rFonts w:ascii="Arial" w:hAnsi="Arial" w:cs="Arial"/>
              </w:rPr>
              <w:t xml:space="preserve">Delivering </w:t>
            </w:r>
            <w:r w:rsidR="00043239" w:rsidRPr="001655F7">
              <w:rPr>
                <w:rFonts w:ascii="Arial" w:hAnsi="Arial" w:cs="Arial"/>
              </w:rPr>
              <w:t>long-term social engagement</w:t>
            </w:r>
            <w:r w:rsidR="003A1F74" w:rsidRPr="001655F7">
              <w:rPr>
                <w:rFonts w:ascii="Arial" w:hAnsi="Arial" w:cs="Arial"/>
              </w:rPr>
              <w:t xml:space="preserve">, e.g. </w:t>
            </w:r>
            <w:proofErr w:type="gramStart"/>
            <w:r w:rsidRPr="001655F7">
              <w:rPr>
                <w:rFonts w:ascii="Arial" w:hAnsi="Arial" w:cs="Arial"/>
              </w:rPr>
              <w:t>establishing</w:t>
            </w:r>
            <w:proofErr w:type="gramEnd"/>
            <w:r w:rsidRPr="001655F7">
              <w:rPr>
                <w:rFonts w:ascii="Arial" w:hAnsi="Arial" w:cs="Arial"/>
              </w:rPr>
              <w:t xml:space="preserve"> </w:t>
            </w:r>
            <w:r w:rsidR="0023129A" w:rsidRPr="001655F7">
              <w:rPr>
                <w:rFonts w:ascii="Arial" w:hAnsi="Arial" w:cs="Arial"/>
              </w:rPr>
              <w:t xml:space="preserve">or influencing wider </w:t>
            </w:r>
            <w:r w:rsidRPr="001655F7">
              <w:rPr>
                <w:rFonts w:ascii="Arial" w:hAnsi="Arial" w:cs="Arial"/>
              </w:rPr>
              <w:t xml:space="preserve">networks, or empowering people to take ownership over and pride in local projects. </w:t>
            </w:r>
            <w:r w:rsidR="00A27F3E" w:rsidRPr="001655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6" w:type="dxa"/>
          </w:tcPr>
          <w:p w14:paraId="7A679F13" w14:textId="77777777" w:rsidR="00043239" w:rsidRDefault="00043239" w:rsidP="0022284C">
            <w:pPr>
              <w:contextualSpacing/>
              <w:jc w:val="right"/>
            </w:pPr>
            <w:r>
              <w:rPr>
                <w:rFonts w:ascii="Arial" w:hAnsi="Arial" w:cs="Arial"/>
              </w:rPr>
              <w:t xml:space="preserve">           </w:t>
            </w:r>
            <w:r w:rsidR="0022284C">
              <w:rPr>
                <w:rFonts w:ascii="Arial" w:hAnsi="Arial" w:cs="Arial"/>
              </w:rPr>
              <w:t>/5</w:t>
            </w:r>
          </w:p>
        </w:tc>
      </w:tr>
      <w:tr w:rsidR="00043239" w14:paraId="26F6371B" w14:textId="77777777" w:rsidTr="6B301F52">
        <w:tc>
          <w:tcPr>
            <w:tcW w:w="7650" w:type="dxa"/>
            <w:shd w:val="clear" w:color="auto" w:fill="F2F2F2" w:themeFill="background1" w:themeFillShade="F2"/>
          </w:tcPr>
          <w:p w14:paraId="3A456912" w14:textId="77777777" w:rsidR="00043239" w:rsidRDefault="00043239" w:rsidP="005E6EC9">
            <w:pPr>
              <w:contextualSpacing/>
              <w:rPr>
                <w:rFonts w:ascii="Arial" w:hAnsi="Arial" w:cs="Arial"/>
                <w:b/>
                <w:u w:val="single"/>
              </w:rPr>
            </w:pPr>
            <w:r w:rsidRPr="0005077B">
              <w:rPr>
                <w:rFonts w:ascii="Arial" w:hAnsi="Arial" w:cs="Arial"/>
                <w:b/>
                <w:u w:val="single"/>
              </w:rPr>
              <w:t xml:space="preserve">Section Total </w:t>
            </w:r>
          </w:p>
          <w:p w14:paraId="5A39BBE3" w14:textId="77777777" w:rsidR="000D451B" w:rsidRPr="0005077B" w:rsidRDefault="000D451B" w:rsidP="005E6EC9">
            <w:pPr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66" w:type="dxa"/>
            <w:shd w:val="clear" w:color="auto" w:fill="F2F2F2" w:themeFill="background1" w:themeFillShade="F2"/>
          </w:tcPr>
          <w:p w14:paraId="32337391" w14:textId="77777777" w:rsidR="00043239" w:rsidRPr="0005077B" w:rsidRDefault="0022284C" w:rsidP="0022284C">
            <w:pPr>
              <w:contextualSpacing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          /15</w:t>
            </w:r>
            <w:r w:rsidR="00043239" w:rsidRPr="0005077B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  <w:tr w:rsidR="0023129A" w14:paraId="41C8F396" w14:textId="77777777" w:rsidTr="6B301F52">
        <w:tc>
          <w:tcPr>
            <w:tcW w:w="9016" w:type="dxa"/>
            <w:gridSpan w:val="2"/>
            <w:shd w:val="clear" w:color="auto" w:fill="FFFFFF" w:themeFill="background1"/>
          </w:tcPr>
          <w:p w14:paraId="72A3D3EC" w14:textId="77777777" w:rsidR="0023129A" w:rsidRDefault="0023129A" w:rsidP="0022284C">
            <w:pPr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  <w:tr w:rsidR="00043239" w14:paraId="68F8B21D" w14:textId="77777777" w:rsidTr="6B301F5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30A4209" w14:textId="42B096DE" w:rsidR="00043239" w:rsidRPr="00043239" w:rsidRDefault="00080907" w:rsidP="12A5D29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line="360" w:lineRule="auto"/>
            </w:pPr>
            <w:r w:rsidRPr="12A5D2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Promoting </w:t>
            </w:r>
            <w:r w:rsidR="0085716A" w:rsidRPr="12A5D2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</w:t>
            </w:r>
            <w:r w:rsidR="00043239" w:rsidRPr="12A5D2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ardening </w:t>
            </w:r>
            <w:r w:rsidR="00E701E2" w:rsidRPr="12A5D29D">
              <w:rPr>
                <w:rFonts w:ascii="Arial" w:eastAsia="Times New Roman" w:hAnsi="Arial" w:cs="Arial"/>
                <w:b/>
                <w:bCs/>
              </w:rPr>
              <w:t xml:space="preserve">– </w:t>
            </w:r>
            <w:r w:rsidR="24D98387" w:rsidRPr="12A5D29D">
              <w:rPr>
                <w:rFonts w:ascii="Arial" w:eastAsia="Times New Roman" w:hAnsi="Arial" w:cs="Arial"/>
                <w:b/>
                <w:bCs/>
              </w:rPr>
              <w:t xml:space="preserve">30% of marks, </w:t>
            </w:r>
            <w:r w:rsidR="00E701E2" w:rsidRPr="12A5D29D">
              <w:rPr>
                <w:rFonts w:ascii="Arial" w:eastAsia="Times New Roman" w:hAnsi="Arial" w:cs="Arial"/>
                <w:b/>
                <w:bCs/>
              </w:rPr>
              <w:t xml:space="preserve">out of 15 </w:t>
            </w:r>
          </w:p>
        </w:tc>
      </w:tr>
      <w:tr w:rsidR="0022284C" w14:paraId="0F83BDFC" w14:textId="77777777" w:rsidTr="6B301F52">
        <w:tc>
          <w:tcPr>
            <w:tcW w:w="7650" w:type="dxa"/>
          </w:tcPr>
          <w:p w14:paraId="2FAB95AA" w14:textId="77777777" w:rsidR="0022284C" w:rsidRPr="00043239" w:rsidRDefault="0022284C" w:rsidP="0022284C">
            <w:pPr>
              <w:pStyle w:val="ListParagraph"/>
              <w:numPr>
                <w:ilvl w:val="0"/>
                <w:numId w:val="2"/>
              </w:numPr>
              <w:spacing w:before="120"/>
              <w:contextualSpacing/>
              <w:rPr>
                <w:rFonts w:ascii="Arial" w:hAnsi="Arial" w:cs="Arial"/>
              </w:rPr>
            </w:pPr>
            <w:r w:rsidRPr="00043239">
              <w:rPr>
                <w:rFonts w:ascii="Arial" w:hAnsi="Arial" w:cs="Arial"/>
              </w:rPr>
              <w:t>Creating activities that promote gardening best practice, so people feel part of and care for their community and local environment</w:t>
            </w:r>
            <w:r w:rsidR="00EC46C7">
              <w:rPr>
                <w:rFonts w:ascii="Arial" w:hAnsi="Arial" w:cs="Arial"/>
              </w:rPr>
              <w:t>,</w:t>
            </w:r>
            <w:r w:rsidRPr="00043239">
              <w:rPr>
                <w:rFonts w:ascii="Arial" w:hAnsi="Arial" w:cs="Arial"/>
              </w:rPr>
              <w:t xml:space="preserve"> such as planting hedges to increase local biodiversity.</w:t>
            </w:r>
          </w:p>
          <w:p w14:paraId="0D0B940D" w14:textId="77777777" w:rsidR="0022284C" w:rsidRDefault="0022284C" w:rsidP="0022284C">
            <w:pPr>
              <w:contextualSpacing/>
            </w:pPr>
          </w:p>
        </w:tc>
        <w:tc>
          <w:tcPr>
            <w:tcW w:w="1366" w:type="dxa"/>
          </w:tcPr>
          <w:p w14:paraId="0416F7D6" w14:textId="77777777" w:rsidR="0022284C" w:rsidRDefault="0022284C" w:rsidP="0022284C">
            <w:pPr>
              <w:jc w:val="right"/>
            </w:pPr>
            <w:r w:rsidRPr="00264185">
              <w:rPr>
                <w:rFonts w:ascii="Arial" w:hAnsi="Arial" w:cs="Arial"/>
              </w:rPr>
              <w:t>/5</w:t>
            </w:r>
          </w:p>
        </w:tc>
      </w:tr>
      <w:tr w:rsidR="0022284C" w14:paraId="63B1F1FF" w14:textId="77777777" w:rsidTr="6B301F52">
        <w:tc>
          <w:tcPr>
            <w:tcW w:w="7650" w:type="dxa"/>
          </w:tcPr>
          <w:p w14:paraId="6DEFEBB7" w14:textId="77777777" w:rsidR="0022284C" w:rsidRPr="00043239" w:rsidRDefault="0022284C" w:rsidP="0022284C">
            <w:pPr>
              <w:pStyle w:val="ListParagraph"/>
              <w:numPr>
                <w:ilvl w:val="0"/>
                <w:numId w:val="2"/>
              </w:numPr>
              <w:spacing w:before="120"/>
              <w:contextualSpacing/>
              <w:rPr>
                <w:rFonts w:ascii="Arial" w:hAnsi="Arial" w:cs="Arial"/>
              </w:rPr>
            </w:pPr>
            <w:r w:rsidRPr="00043239">
              <w:rPr>
                <w:rFonts w:ascii="Arial" w:hAnsi="Arial" w:cs="Arial"/>
              </w:rPr>
              <w:t>Creating learning opportunities suit</w:t>
            </w:r>
            <w:r>
              <w:rPr>
                <w:rFonts w:ascii="Arial" w:hAnsi="Arial" w:cs="Arial"/>
              </w:rPr>
              <w:t xml:space="preserve">able for </w:t>
            </w:r>
            <w:r w:rsidRPr="00043239">
              <w:rPr>
                <w:rFonts w:ascii="Arial" w:hAnsi="Arial" w:cs="Arial"/>
              </w:rPr>
              <w:t>people of all ages and abilities</w:t>
            </w:r>
            <w:r>
              <w:rPr>
                <w:rFonts w:ascii="Arial" w:hAnsi="Arial" w:cs="Arial"/>
              </w:rPr>
              <w:t>, e.g. wo</w:t>
            </w:r>
            <w:r w:rsidRPr="00043239">
              <w:rPr>
                <w:rFonts w:ascii="Arial" w:hAnsi="Arial" w:cs="Arial"/>
              </w:rPr>
              <w:t xml:space="preserve">rkshops for children, holding open days targeted at new residents, wildlife talks, guided walks etc. </w:t>
            </w:r>
          </w:p>
          <w:p w14:paraId="0E27B00A" w14:textId="77777777" w:rsidR="0022284C" w:rsidRDefault="0022284C" w:rsidP="0022284C">
            <w:pPr>
              <w:pStyle w:val="ListParagraph"/>
              <w:ind w:left="360"/>
            </w:pPr>
          </w:p>
        </w:tc>
        <w:tc>
          <w:tcPr>
            <w:tcW w:w="1366" w:type="dxa"/>
          </w:tcPr>
          <w:p w14:paraId="320468E0" w14:textId="77777777" w:rsidR="0022284C" w:rsidRDefault="0022284C" w:rsidP="0022284C">
            <w:pPr>
              <w:jc w:val="right"/>
            </w:pPr>
            <w:r w:rsidRPr="00264185">
              <w:rPr>
                <w:rFonts w:ascii="Arial" w:hAnsi="Arial" w:cs="Arial"/>
              </w:rPr>
              <w:t>/5</w:t>
            </w:r>
          </w:p>
        </w:tc>
      </w:tr>
      <w:tr w:rsidR="0022284C" w14:paraId="7010679B" w14:textId="77777777" w:rsidTr="6B301F52">
        <w:tc>
          <w:tcPr>
            <w:tcW w:w="7650" w:type="dxa"/>
          </w:tcPr>
          <w:p w14:paraId="371AD3D1" w14:textId="77777777" w:rsidR="0022284C" w:rsidRDefault="001472BA" w:rsidP="00725FDD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/>
            </w:pPr>
            <w:r>
              <w:rPr>
                <w:rFonts w:ascii="Arial" w:hAnsi="Arial" w:cs="Arial"/>
              </w:rPr>
              <w:t xml:space="preserve">Enabling </w:t>
            </w:r>
            <w:r w:rsidR="0022284C" w:rsidRPr="00043239">
              <w:rPr>
                <w:rFonts w:ascii="Arial" w:hAnsi="Arial" w:cs="Arial"/>
              </w:rPr>
              <w:t>people to give to others in their community</w:t>
            </w:r>
            <w:r w:rsidR="0022284C">
              <w:rPr>
                <w:rFonts w:ascii="Arial" w:hAnsi="Arial" w:cs="Arial"/>
              </w:rPr>
              <w:t xml:space="preserve"> by sharing their own s</w:t>
            </w:r>
            <w:r w:rsidR="0022284C" w:rsidRPr="00043239">
              <w:rPr>
                <w:rFonts w:ascii="Arial" w:hAnsi="Arial" w:cs="Arial"/>
              </w:rPr>
              <w:t>kills and knowledge</w:t>
            </w:r>
            <w:r w:rsidR="0022284C">
              <w:rPr>
                <w:rFonts w:ascii="Arial" w:hAnsi="Arial" w:cs="Arial"/>
              </w:rPr>
              <w:t xml:space="preserve">, </w:t>
            </w:r>
            <w:r w:rsidR="0022284C" w:rsidRPr="00043239">
              <w:rPr>
                <w:rFonts w:ascii="Arial" w:hAnsi="Arial" w:cs="Arial"/>
              </w:rPr>
              <w:t xml:space="preserve">e.g. </w:t>
            </w:r>
            <w:r w:rsidR="0022284C">
              <w:rPr>
                <w:rFonts w:ascii="Arial" w:hAnsi="Arial" w:cs="Arial"/>
              </w:rPr>
              <w:t xml:space="preserve">by creating opportunities to </w:t>
            </w:r>
            <w:r w:rsidR="0022284C" w:rsidRPr="00043239">
              <w:rPr>
                <w:rFonts w:ascii="Arial" w:hAnsi="Arial" w:cs="Arial"/>
              </w:rPr>
              <w:t xml:space="preserve">mentor </w:t>
            </w:r>
            <w:r w:rsidR="00725FDD">
              <w:rPr>
                <w:rFonts w:ascii="Arial" w:hAnsi="Arial" w:cs="Arial"/>
              </w:rPr>
              <w:t xml:space="preserve">other </w:t>
            </w:r>
            <w:r w:rsidR="0022284C" w:rsidRPr="00043239">
              <w:rPr>
                <w:rFonts w:ascii="Arial" w:hAnsi="Arial" w:cs="Arial"/>
              </w:rPr>
              <w:t xml:space="preserve">people, </w:t>
            </w:r>
            <w:r w:rsidR="0022284C">
              <w:rPr>
                <w:rFonts w:ascii="Arial" w:hAnsi="Arial" w:cs="Arial"/>
              </w:rPr>
              <w:t xml:space="preserve">share knowledge </w:t>
            </w:r>
            <w:r w:rsidR="0022284C" w:rsidRPr="00043239">
              <w:rPr>
                <w:rFonts w:ascii="Arial" w:hAnsi="Arial" w:cs="Arial"/>
              </w:rPr>
              <w:t xml:space="preserve">about growing food from other countries, </w:t>
            </w:r>
            <w:r w:rsidR="0022284C">
              <w:rPr>
                <w:rFonts w:ascii="Arial" w:hAnsi="Arial" w:cs="Arial"/>
              </w:rPr>
              <w:t xml:space="preserve">or </w:t>
            </w:r>
            <w:r w:rsidR="0022284C" w:rsidRPr="00043239">
              <w:rPr>
                <w:rFonts w:ascii="Arial" w:hAnsi="Arial" w:cs="Arial"/>
              </w:rPr>
              <w:t>promot</w:t>
            </w:r>
            <w:r w:rsidR="00725FDD">
              <w:rPr>
                <w:rFonts w:ascii="Arial" w:hAnsi="Arial" w:cs="Arial"/>
              </w:rPr>
              <w:t>e</w:t>
            </w:r>
            <w:r w:rsidR="0022284C" w:rsidRPr="00043239">
              <w:rPr>
                <w:rFonts w:ascii="Arial" w:hAnsi="Arial" w:cs="Arial"/>
              </w:rPr>
              <w:t xml:space="preserve"> </w:t>
            </w:r>
            <w:r w:rsidR="0022284C">
              <w:rPr>
                <w:rFonts w:ascii="Arial" w:hAnsi="Arial" w:cs="Arial"/>
              </w:rPr>
              <w:t xml:space="preserve">the </w:t>
            </w:r>
            <w:r w:rsidR="0022284C" w:rsidRPr="00043239">
              <w:rPr>
                <w:rFonts w:ascii="Arial" w:hAnsi="Arial" w:cs="Arial"/>
              </w:rPr>
              <w:t>health and wellbeing benefits of gardening</w:t>
            </w:r>
            <w:r w:rsidR="0022284C">
              <w:rPr>
                <w:rFonts w:ascii="Arial" w:hAnsi="Arial" w:cs="Arial"/>
              </w:rPr>
              <w:t>,</w:t>
            </w:r>
            <w:r w:rsidR="0022284C" w:rsidRPr="00043239">
              <w:rPr>
                <w:rFonts w:ascii="Arial" w:hAnsi="Arial" w:cs="Arial"/>
              </w:rPr>
              <w:t xml:space="preserve"> etc. </w:t>
            </w:r>
            <w:r w:rsidR="002228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6" w:type="dxa"/>
          </w:tcPr>
          <w:p w14:paraId="0777D317" w14:textId="77777777" w:rsidR="0022284C" w:rsidRDefault="0022284C" w:rsidP="0022284C">
            <w:pPr>
              <w:jc w:val="right"/>
            </w:pPr>
            <w:r w:rsidRPr="00264185">
              <w:rPr>
                <w:rFonts w:ascii="Arial" w:hAnsi="Arial" w:cs="Arial"/>
              </w:rPr>
              <w:t>/5</w:t>
            </w:r>
          </w:p>
        </w:tc>
      </w:tr>
      <w:tr w:rsidR="00043239" w14:paraId="66DB8F1F" w14:textId="77777777" w:rsidTr="6B301F52">
        <w:tc>
          <w:tcPr>
            <w:tcW w:w="7650" w:type="dxa"/>
            <w:shd w:val="clear" w:color="auto" w:fill="F2F2F2" w:themeFill="background1" w:themeFillShade="F2"/>
          </w:tcPr>
          <w:p w14:paraId="082492D0" w14:textId="77777777" w:rsidR="00043239" w:rsidRDefault="00043239" w:rsidP="005E6EC9">
            <w:pPr>
              <w:contextualSpacing/>
              <w:rPr>
                <w:rFonts w:ascii="Arial" w:hAnsi="Arial" w:cs="Arial"/>
                <w:b/>
                <w:u w:val="single"/>
              </w:rPr>
            </w:pPr>
            <w:r w:rsidRPr="0005077B">
              <w:rPr>
                <w:rFonts w:ascii="Arial" w:hAnsi="Arial" w:cs="Arial"/>
                <w:b/>
                <w:u w:val="single"/>
              </w:rPr>
              <w:t xml:space="preserve">Section Total </w:t>
            </w:r>
          </w:p>
          <w:p w14:paraId="60061E4C" w14:textId="77777777" w:rsidR="000D451B" w:rsidRPr="0005077B" w:rsidRDefault="000D451B" w:rsidP="005E6EC9">
            <w:pPr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66" w:type="dxa"/>
            <w:shd w:val="clear" w:color="auto" w:fill="F2F2F2" w:themeFill="background1" w:themeFillShade="F2"/>
          </w:tcPr>
          <w:p w14:paraId="631C4FB4" w14:textId="77777777" w:rsidR="00043239" w:rsidRPr="0005077B" w:rsidRDefault="0022284C" w:rsidP="0022284C">
            <w:pPr>
              <w:contextualSpacing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          /15</w:t>
            </w:r>
            <w:r w:rsidR="00043239" w:rsidRPr="0005077B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  <w:tr w:rsidR="0023129A" w14:paraId="44EAFD9C" w14:textId="77777777" w:rsidTr="6B301F52">
        <w:tc>
          <w:tcPr>
            <w:tcW w:w="9016" w:type="dxa"/>
            <w:gridSpan w:val="2"/>
            <w:shd w:val="clear" w:color="auto" w:fill="FFFFFF" w:themeFill="background1"/>
          </w:tcPr>
          <w:p w14:paraId="4B94D5A5" w14:textId="77777777" w:rsidR="0023129A" w:rsidRDefault="0023129A" w:rsidP="0022284C">
            <w:pPr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  <w:tr w:rsidR="0023129A" w14:paraId="1044E7FA" w14:textId="77777777" w:rsidTr="6B301F52">
        <w:tc>
          <w:tcPr>
            <w:tcW w:w="7650" w:type="dxa"/>
            <w:shd w:val="clear" w:color="auto" w:fill="D9D9D9" w:themeFill="background1" w:themeFillShade="D9"/>
          </w:tcPr>
          <w:p w14:paraId="78A9790D" w14:textId="77777777" w:rsidR="0023129A" w:rsidRDefault="0023129A" w:rsidP="005E6EC9">
            <w:pPr>
              <w:contextualSpacing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Overall Total </w:t>
            </w:r>
          </w:p>
          <w:p w14:paraId="3DEEC669" w14:textId="77777777" w:rsidR="0023129A" w:rsidRPr="0005077B" w:rsidRDefault="0023129A" w:rsidP="005E6EC9">
            <w:pPr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 w14:paraId="5805B4D9" w14:textId="77777777" w:rsidR="0023129A" w:rsidRDefault="0023129A" w:rsidP="0022284C">
            <w:pPr>
              <w:contextualSpacing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          /50</w:t>
            </w:r>
          </w:p>
        </w:tc>
      </w:tr>
    </w:tbl>
    <w:p w14:paraId="3656B9AB" w14:textId="77777777" w:rsidR="00043239" w:rsidRDefault="00043239" w:rsidP="00043239">
      <w:pPr>
        <w:contextualSpacing/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6B301F52" w14:paraId="4EFC2F7E" w14:textId="77777777" w:rsidTr="6B301F52">
        <w:trPr>
          <w:trHeight w:val="300"/>
        </w:trPr>
        <w:tc>
          <w:tcPr>
            <w:tcW w:w="901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791A028" w14:textId="6CFA5E73" w:rsidR="6B301F52" w:rsidRDefault="6B301F52" w:rsidP="6B301F52">
            <w:pPr>
              <w:spacing w:before="240"/>
              <w:contextualSpacing/>
              <w:rPr>
                <w:rFonts w:ascii="Arial" w:eastAsia="Arial" w:hAnsi="Arial" w:cs="Arial"/>
                <w:color w:val="000000" w:themeColor="text1"/>
              </w:rPr>
            </w:pPr>
            <w:r w:rsidRPr="6B301F5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Assessor’s Report                                                                 Between 150 – 600 words </w:t>
            </w:r>
          </w:p>
          <w:p w14:paraId="3228AB7D" w14:textId="44A24871" w:rsidR="6B301F52" w:rsidRDefault="6B301F52" w:rsidP="6B301F52">
            <w:pPr>
              <w:spacing w:before="240"/>
              <w:contextualSpacing/>
              <w:rPr>
                <w:rFonts w:ascii="Arial" w:eastAsia="Arial" w:hAnsi="Arial" w:cs="Arial"/>
                <w:color w:val="000000" w:themeColor="text1"/>
              </w:rPr>
            </w:pPr>
            <w:r w:rsidRPr="6B301F5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6B301F52" w14:paraId="79209AF9" w14:textId="77777777" w:rsidTr="6B301F52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14:paraId="387F4AF9" w14:textId="21181BED" w:rsidR="6B301F52" w:rsidRDefault="6B301F52" w:rsidP="6B301F52">
            <w:p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0BD37A7E" w14:textId="46A0F961" w:rsidR="6B301F52" w:rsidRDefault="6B301F52" w:rsidP="6B301F52">
            <w:p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3C29BA4D" w14:textId="6956C27B" w:rsidR="6B301F52" w:rsidRDefault="6B301F52" w:rsidP="6B301F52">
            <w:p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7C3209BA" w14:textId="58013257" w:rsidR="6B301F52" w:rsidRDefault="6B301F52" w:rsidP="6B301F52">
            <w:p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3F5A71D0" w14:textId="29869746" w:rsidR="6B301F52" w:rsidRDefault="6B301F52" w:rsidP="6B301F52">
            <w:p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1A54C9A0" w14:textId="3FEE38B1" w:rsidR="6B301F52" w:rsidRDefault="6B301F52" w:rsidP="6B301F52">
            <w:p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080AB470" w14:textId="5FF263FE" w:rsidR="6B301F52" w:rsidRDefault="6B301F52" w:rsidP="6B301F52">
            <w:p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6A4FC4CC" w14:textId="0B4EFE8D" w:rsidR="6B301F52" w:rsidRDefault="6B301F52" w:rsidP="6B301F52">
            <w:p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00F5FE03" w14:textId="580314B8" w:rsidR="6B301F52" w:rsidRDefault="6B301F52" w:rsidP="6B301F52">
            <w:p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49F44EF4" w14:textId="7D7769C4" w:rsidR="6B301F52" w:rsidRDefault="6B301F52" w:rsidP="6B301F52">
            <w:p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B301F52" w14:paraId="7CB7B496" w14:textId="77777777" w:rsidTr="6B301F52">
        <w:trPr>
          <w:trHeight w:val="300"/>
        </w:trPr>
        <w:tc>
          <w:tcPr>
            <w:tcW w:w="901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D61F96" w14:textId="00E2CC57" w:rsidR="6B301F52" w:rsidRDefault="6B301F52" w:rsidP="6B301F52">
            <w:pPr>
              <w:tabs>
                <w:tab w:val="left" w:pos="7020"/>
              </w:tabs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B301F52" w14:paraId="109CAA2A" w14:textId="77777777" w:rsidTr="6B301F52">
        <w:trPr>
          <w:trHeight w:val="300"/>
        </w:trPr>
        <w:tc>
          <w:tcPr>
            <w:tcW w:w="9015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4C76D82" w14:textId="199123D4" w:rsidR="6B301F52" w:rsidRDefault="6B301F52" w:rsidP="6B301F5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6B301F52" w14:paraId="0E056AC5" w14:textId="77777777" w:rsidTr="6B301F52">
        <w:trPr>
          <w:trHeight w:val="300"/>
        </w:trPr>
        <w:tc>
          <w:tcPr>
            <w:tcW w:w="901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666B34F" w14:textId="6A1D9A82" w:rsidR="6B301F52" w:rsidRDefault="6B301F52" w:rsidP="6B301F52">
            <w:pPr>
              <w:spacing w:before="120"/>
              <w:contextualSpacing/>
              <w:rPr>
                <w:rFonts w:ascii="Arial" w:eastAsia="Arial" w:hAnsi="Arial" w:cs="Arial"/>
                <w:color w:val="000000" w:themeColor="text1"/>
              </w:rPr>
            </w:pPr>
            <w:r w:rsidRPr="6B301F5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Visual Evidence </w:t>
            </w:r>
          </w:p>
          <w:p w14:paraId="4ABF5C18" w14:textId="1A6909F6" w:rsidR="6B301F52" w:rsidRDefault="6B301F52" w:rsidP="6B301F5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B301F52" w14:paraId="3BDCAE4B" w14:textId="77777777" w:rsidTr="6B301F52">
        <w:trPr>
          <w:trHeight w:val="300"/>
        </w:trPr>
        <w:tc>
          <w:tcPr>
            <w:tcW w:w="9015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884E394" w14:textId="4E5D1FC7" w:rsidR="6B301F52" w:rsidRDefault="6B301F52" w:rsidP="6B301F52">
            <w:pPr>
              <w:contextualSpacing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6B301F52">
              <w:rPr>
                <w:rFonts w:ascii="Arial" w:eastAsia="Arial" w:hAnsi="Arial" w:cs="Arial"/>
                <w:color w:val="000000" w:themeColor="text1"/>
              </w:rPr>
              <w:t xml:space="preserve">Please submit this entry, along with up to 4 labelled images, or a link to a video of up to 2 minutes. Please see RHS guidance around photos and permissions. </w:t>
            </w:r>
          </w:p>
          <w:p w14:paraId="6740EE40" w14:textId="52CA94C4" w:rsidR="6B301F52" w:rsidRDefault="6B301F52" w:rsidP="6B301F52">
            <w:pPr>
              <w:rPr>
                <w:rFonts w:ascii="Arial" w:eastAsia="Arial" w:hAnsi="Arial" w:cs="Arial"/>
                <w:color w:val="000000" w:themeColor="text1"/>
              </w:rPr>
            </w:pPr>
            <w:r w:rsidRPr="6B301F52">
              <w:rPr>
                <w:rFonts w:ascii="Arial" w:eastAsia="Arial" w:hAnsi="Arial" w:cs="Arial"/>
                <w:color w:val="000000" w:themeColor="text1"/>
              </w:rPr>
              <w:t xml:space="preserve">If including a video link, please add here: </w:t>
            </w:r>
          </w:p>
        </w:tc>
      </w:tr>
      <w:tr w:rsidR="6B301F52" w14:paraId="3F999315" w14:textId="77777777" w:rsidTr="6B301F52">
        <w:trPr>
          <w:trHeight w:val="300"/>
        </w:trPr>
        <w:tc>
          <w:tcPr>
            <w:tcW w:w="901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FDFD0B" w14:textId="75D6413E" w:rsidR="6B301F52" w:rsidRDefault="6B301F52" w:rsidP="6B301F5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E77F531" w14:textId="4F3A3F15" w:rsidR="6B301F52" w:rsidRDefault="6B301F52" w:rsidP="6B301F52">
      <w:pPr>
        <w:contextualSpacing/>
      </w:pPr>
    </w:p>
    <w:sectPr w:rsidR="6B301F5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D8F4" w14:textId="77777777" w:rsidR="00683AE8" w:rsidRDefault="00683AE8" w:rsidP="00254B85">
      <w:pPr>
        <w:spacing w:after="0" w:line="240" w:lineRule="auto"/>
      </w:pPr>
      <w:r>
        <w:separator/>
      </w:r>
    </w:p>
  </w:endnote>
  <w:endnote w:type="continuationSeparator" w:id="0">
    <w:p w14:paraId="4ABEC0E5" w14:textId="77777777" w:rsidR="00683AE8" w:rsidRDefault="00683AE8" w:rsidP="0025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187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5013CBD2" w:rsidR="00254B85" w:rsidRDefault="00254B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2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97CC1D" w14:textId="77777777" w:rsidR="00254B85" w:rsidRDefault="00254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DCC06" w14:textId="77777777" w:rsidR="00683AE8" w:rsidRDefault="00683AE8" w:rsidP="00254B85">
      <w:pPr>
        <w:spacing w:after="0" w:line="240" w:lineRule="auto"/>
      </w:pPr>
      <w:r>
        <w:separator/>
      </w:r>
    </w:p>
  </w:footnote>
  <w:footnote w:type="continuationSeparator" w:id="0">
    <w:p w14:paraId="3DF56068" w14:textId="77777777" w:rsidR="00683AE8" w:rsidRDefault="00683AE8" w:rsidP="0025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6580" w14:textId="5A38F8B9" w:rsidR="00933AE3" w:rsidRPr="00BE3C3A" w:rsidRDefault="00933AE3" w:rsidP="00933AE3">
    <w:pPr>
      <w:pStyle w:val="Header"/>
      <w:rPr>
        <w:rFonts w:ascii="Arial" w:hAnsi="Arial" w:cs="Arial"/>
        <w:sz w:val="20"/>
        <w:szCs w:val="20"/>
      </w:rPr>
    </w:pPr>
    <w:r w:rsidRPr="00BE3C3A">
      <w:rPr>
        <w:rFonts w:ascii="Arial" w:hAnsi="Arial" w:cs="Arial"/>
        <w:sz w:val="20"/>
        <w:szCs w:val="20"/>
      </w:rPr>
      <w:t xml:space="preserve">Updated </w:t>
    </w:r>
    <w:r w:rsidR="00C02847">
      <w:rPr>
        <w:rFonts w:ascii="Arial" w:hAnsi="Arial" w:cs="Arial"/>
        <w:sz w:val="20"/>
        <w:szCs w:val="20"/>
      </w:rPr>
      <w:t>February 2024</w:t>
    </w:r>
    <w:r>
      <w:rPr>
        <w:rFonts w:ascii="Arial" w:hAnsi="Arial" w:cs="Arial"/>
        <w:sz w:val="20"/>
        <w:szCs w:val="20"/>
      </w:rPr>
      <w:t xml:space="preserve">, for </w:t>
    </w:r>
    <w:r w:rsidR="006B1295">
      <w:rPr>
        <w:rFonts w:ascii="Arial" w:hAnsi="Arial" w:cs="Arial"/>
        <w:sz w:val="20"/>
        <w:szCs w:val="20"/>
      </w:rPr>
      <w:t xml:space="preserve">RHS Community Awards </w:t>
    </w:r>
    <w:r w:rsidR="00C02847">
      <w:rPr>
        <w:rFonts w:ascii="Arial" w:hAnsi="Arial" w:cs="Arial"/>
        <w:sz w:val="20"/>
        <w:szCs w:val="20"/>
      </w:rPr>
      <w:t xml:space="preserve">pilot year </w:t>
    </w:r>
  </w:p>
  <w:p w14:paraId="0562CB0E" w14:textId="77777777" w:rsidR="00933AE3" w:rsidRDefault="00933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2C43"/>
    <w:multiLevelType w:val="hybridMultilevel"/>
    <w:tmpl w:val="0F8CD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32045"/>
    <w:multiLevelType w:val="hybridMultilevel"/>
    <w:tmpl w:val="FD847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8B6CFD"/>
    <w:multiLevelType w:val="hybridMultilevel"/>
    <w:tmpl w:val="D0446094"/>
    <w:lvl w:ilvl="0" w:tplc="69BCEF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510E0"/>
    <w:multiLevelType w:val="hybridMultilevel"/>
    <w:tmpl w:val="2110D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682F12"/>
    <w:multiLevelType w:val="hybridMultilevel"/>
    <w:tmpl w:val="FC444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823362"/>
    <w:multiLevelType w:val="hybridMultilevel"/>
    <w:tmpl w:val="F0C08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3140480">
    <w:abstractNumId w:val="4"/>
  </w:num>
  <w:num w:numId="2" w16cid:durableId="690186382">
    <w:abstractNumId w:val="1"/>
  </w:num>
  <w:num w:numId="3" w16cid:durableId="260458272">
    <w:abstractNumId w:val="0"/>
  </w:num>
  <w:num w:numId="4" w16cid:durableId="385877472">
    <w:abstractNumId w:val="2"/>
  </w:num>
  <w:num w:numId="5" w16cid:durableId="983311381">
    <w:abstractNumId w:val="3"/>
  </w:num>
  <w:num w:numId="6" w16cid:durableId="785850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8A"/>
    <w:rsid w:val="00043239"/>
    <w:rsid w:val="00080907"/>
    <w:rsid w:val="00083C8A"/>
    <w:rsid w:val="000D451B"/>
    <w:rsid w:val="001472BA"/>
    <w:rsid w:val="001655F7"/>
    <w:rsid w:val="00212AED"/>
    <w:rsid w:val="0022284C"/>
    <w:rsid w:val="00225FF1"/>
    <w:rsid w:val="0023129A"/>
    <w:rsid w:val="00254B85"/>
    <w:rsid w:val="003A1F74"/>
    <w:rsid w:val="003B1162"/>
    <w:rsid w:val="003F1383"/>
    <w:rsid w:val="00402738"/>
    <w:rsid w:val="004A526D"/>
    <w:rsid w:val="005A7972"/>
    <w:rsid w:val="006114CC"/>
    <w:rsid w:val="00683AE8"/>
    <w:rsid w:val="006B1295"/>
    <w:rsid w:val="00725FDD"/>
    <w:rsid w:val="007B64C5"/>
    <w:rsid w:val="0085716A"/>
    <w:rsid w:val="008A1642"/>
    <w:rsid w:val="0091604A"/>
    <w:rsid w:val="00933AE3"/>
    <w:rsid w:val="009613E0"/>
    <w:rsid w:val="009811D2"/>
    <w:rsid w:val="009A1649"/>
    <w:rsid w:val="009C296F"/>
    <w:rsid w:val="009E00DA"/>
    <w:rsid w:val="00A27F3E"/>
    <w:rsid w:val="00A36483"/>
    <w:rsid w:val="00BE2DBC"/>
    <w:rsid w:val="00C02847"/>
    <w:rsid w:val="00C87C8C"/>
    <w:rsid w:val="00CA3B4E"/>
    <w:rsid w:val="00CF00E9"/>
    <w:rsid w:val="00E701E2"/>
    <w:rsid w:val="00EC46C7"/>
    <w:rsid w:val="00FB3137"/>
    <w:rsid w:val="00FF4854"/>
    <w:rsid w:val="12A5D29D"/>
    <w:rsid w:val="24D98387"/>
    <w:rsid w:val="3832132C"/>
    <w:rsid w:val="3B53E8D0"/>
    <w:rsid w:val="6B301F52"/>
    <w:rsid w:val="73BE34F2"/>
    <w:rsid w:val="7478D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39859"/>
  <w15:chartTrackingRefBased/>
  <w15:docId w15:val="{D9F32F96-4682-43B7-993D-F9BBE386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C8A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08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4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B85"/>
  </w:style>
  <w:style w:type="paragraph" w:styleId="Footer">
    <w:name w:val="footer"/>
    <w:basedOn w:val="Normal"/>
    <w:link w:val="FooterChar"/>
    <w:uiPriority w:val="99"/>
    <w:unhideWhenUsed/>
    <w:rsid w:val="00254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vestatus xmlns="063f3a3d-d20b-4fbf-aac0-c2acf0e88b5d" xsi:nil="true"/>
    <lcf76f155ced4ddcb4097134ff3c332f xmlns="063f3a3d-d20b-4fbf-aac0-c2acf0e88b5d">
      <Terms xmlns="http://schemas.microsoft.com/office/infopath/2007/PartnerControls"/>
    </lcf76f155ced4ddcb4097134ff3c332f>
    <TaxCatchAll xmlns="2efb450c-4aca-4ff7-b96f-5f698deb2b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6AF3EBBFBC847AE94C9E6D4DBFE5E" ma:contentTypeVersion="18" ma:contentTypeDescription="Create a new document." ma:contentTypeScope="" ma:versionID="27e9880d5f2c8da31d1d4682dfc6482e">
  <xsd:schema xmlns:xsd="http://www.w3.org/2001/XMLSchema" xmlns:xs="http://www.w3.org/2001/XMLSchema" xmlns:p="http://schemas.microsoft.com/office/2006/metadata/properties" xmlns:ns2="063f3a3d-d20b-4fbf-aac0-c2acf0e88b5d" xmlns:ns3="2efb450c-4aca-4ff7-b96f-5f698deb2bbd" targetNamespace="http://schemas.microsoft.com/office/2006/metadata/properties" ma:root="true" ma:fieldsID="fef4b5b76789b998f4a83bc2e6032c77" ns2:_="" ns3:_="">
    <xsd:import namespace="063f3a3d-d20b-4fbf-aac0-c2acf0e88b5d"/>
    <xsd:import namespace="2efb450c-4aca-4ff7-b96f-5f698deb2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ivestat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f3a3d-d20b-4fbf-aac0-c2acf0e88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ivestatus" ma:index="16" nillable="true" ma:displayName="Live status" ma:description="Update on current location to let rest of the team know" ma:format="Dropdown" ma:internalName="Livestatus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afb050-7ef6-49b1-8358-c3283b90a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b450c-4aca-4ff7-b96f-5f698deb2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c7f3170-0cea-4e86-baf7-81030ff84662}" ma:internalName="TaxCatchAll" ma:showField="CatchAllData" ma:web="2efb450c-4aca-4ff7-b96f-5f698deb2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2D8FC-1CED-448D-BAED-3F0FFACD1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921CB-DF73-4707-87EB-61DDF8BCF42D}">
  <ds:schemaRefs>
    <ds:schemaRef ds:uri="http://schemas.microsoft.com/office/2006/metadata/properties"/>
    <ds:schemaRef ds:uri="http://schemas.microsoft.com/office/infopath/2007/PartnerControls"/>
    <ds:schemaRef ds:uri="063f3a3d-d20b-4fbf-aac0-c2acf0e88b5d"/>
    <ds:schemaRef ds:uri="2efb450c-4aca-4ff7-b96f-5f698deb2bbd"/>
  </ds:schemaRefs>
</ds:datastoreItem>
</file>

<file path=customXml/itemProps3.xml><?xml version="1.0" encoding="utf-8"?>
<ds:datastoreItem xmlns:ds="http://schemas.openxmlformats.org/officeDocument/2006/customXml" ds:itemID="{05CAA2AA-2D17-4649-B324-A2445E3A3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f3a3d-d20b-4fbf-aac0-c2acf0e88b5d"/>
    <ds:schemaRef ds:uri="2efb450c-4aca-4ff7-b96f-5f698deb2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Horticultural Society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Clark</dc:creator>
  <cp:keywords/>
  <dc:description/>
  <cp:lastModifiedBy>Northwest Inbloom</cp:lastModifiedBy>
  <cp:revision>2</cp:revision>
  <dcterms:created xsi:type="dcterms:W3CDTF">2024-02-26T11:43:00Z</dcterms:created>
  <dcterms:modified xsi:type="dcterms:W3CDTF">2024-02-26T11:43:00Z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0x0101000866AF3EBBFBC847AE94C9E6D4DBFE5E</vt:lpwstr>
  </property>
  <property fmtid="{D5CDD505-2E9C-101B-9397-08002B2CF9AE}" pid="3" name="MediaServiceImageTags">
    <vt:lpwstr/>
  </property>
</Properties>
</file>